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F7" w:rsidRPr="00875530" w:rsidRDefault="000A7BF7" w:rsidP="000A7BF7">
      <w:pPr>
        <w:spacing w:before="240" w:after="240" w:line="360" w:lineRule="auto"/>
        <w:jc w:val="right"/>
        <w:rPr>
          <w:rFonts w:ascii="Palatino Linotype" w:hAnsi="Palatino Linotype"/>
          <w:b/>
          <w:sz w:val="24"/>
          <w:szCs w:val="24"/>
        </w:rPr>
      </w:pPr>
      <w:bookmarkStart w:id="0" w:name="_GoBack"/>
      <w:bookmarkEnd w:id="0"/>
      <w:r w:rsidRPr="00875530">
        <w:rPr>
          <w:rFonts w:ascii="Palatino Linotype" w:hAnsi="Palatino Linotype"/>
          <w:b/>
          <w:sz w:val="24"/>
          <w:szCs w:val="24"/>
        </w:rPr>
        <w:t>Metepec, México, en la sede del INFOEM</w:t>
      </w:r>
    </w:p>
    <w:p w:rsidR="000A7BF7" w:rsidRPr="00875530" w:rsidRDefault="00CF3264" w:rsidP="000A7BF7">
      <w:pPr>
        <w:spacing w:before="240" w:after="240" w:line="360" w:lineRule="auto"/>
        <w:jc w:val="right"/>
        <w:rPr>
          <w:rFonts w:ascii="Palatino Linotype" w:hAnsi="Palatino Linotype"/>
          <w:b/>
          <w:sz w:val="24"/>
          <w:szCs w:val="24"/>
        </w:rPr>
      </w:pPr>
      <w:r>
        <w:rPr>
          <w:rFonts w:ascii="Palatino Linotype" w:hAnsi="Palatino Linotype"/>
          <w:b/>
          <w:sz w:val="24"/>
          <w:szCs w:val="24"/>
        </w:rPr>
        <w:t>Agosto 27</w:t>
      </w:r>
      <w:r w:rsidR="000A7BF7" w:rsidRPr="00875530">
        <w:rPr>
          <w:rFonts w:ascii="Palatino Linotype" w:hAnsi="Palatino Linotype"/>
          <w:b/>
          <w:sz w:val="24"/>
          <w:szCs w:val="24"/>
        </w:rPr>
        <w:t xml:space="preserve"> de 2018</w:t>
      </w:r>
    </w:p>
    <w:p w:rsidR="000A7BF7" w:rsidRPr="00875530" w:rsidRDefault="000A7BF7" w:rsidP="000A7BF7">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7F7D6C46" wp14:editId="09AFA554">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7D6C46"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5857E0" w:rsidRDefault="005857E0" w:rsidP="000A7BF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Pr>
          <w:rFonts w:ascii="Palatino Linotype" w:hAnsi="Palatino Linotype"/>
          <w:b/>
          <w:sz w:val="24"/>
          <w:szCs w:val="24"/>
        </w:rPr>
        <w:t xml:space="preserve">VOTO </w:t>
      </w:r>
      <w:r w:rsidR="00441FCA">
        <w:rPr>
          <w:rFonts w:ascii="Palatino Linotype" w:hAnsi="Palatino Linotype"/>
          <w:b/>
          <w:sz w:val="24"/>
          <w:szCs w:val="24"/>
        </w:rPr>
        <w:t>PARTICULAR QUE FORMULA</w:t>
      </w:r>
      <w:r w:rsidRPr="0087553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w:t>
      </w:r>
      <w:r>
        <w:rPr>
          <w:rFonts w:ascii="Palatino Linotype" w:hAnsi="Palatino Linotype"/>
          <w:b/>
          <w:sz w:val="24"/>
          <w:szCs w:val="24"/>
        </w:rPr>
        <w:t xml:space="preserve">UNICIPIOS, EN LA </w:t>
      </w:r>
      <w:r w:rsidR="00CF3264">
        <w:rPr>
          <w:rFonts w:ascii="Palatino Linotype" w:hAnsi="Palatino Linotype"/>
          <w:b/>
          <w:sz w:val="24"/>
          <w:szCs w:val="24"/>
        </w:rPr>
        <w:t>TRIGÉSIMA</w:t>
      </w:r>
      <w:r w:rsidRPr="00875530">
        <w:rPr>
          <w:rFonts w:ascii="Palatino Linotype" w:hAnsi="Palatino Linotype"/>
          <w:b/>
          <w:sz w:val="24"/>
          <w:szCs w:val="24"/>
        </w:rPr>
        <w:t xml:space="preserve"> SES</w:t>
      </w:r>
      <w:r w:rsidR="00CF3264">
        <w:rPr>
          <w:rFonts w:ascii="Palatino Linotype" w:hAnsi="Palatino Linotype"/>
          <w:b/>
          <w:sz w:val="24"/>
          <w:szCs w:val="24"/>
        </w:rPr>
        <w:t>IÓN ORDINARIA DEL VEINTIDOS</w:t>
      </w:r>
      <w:r>
        <w:rPr>
          <w:rFonts w:ascii="Palatino Linotype" w:hAnsi="Palatino Linotype"/>
          <w:b/>
          <w:sz w:val="24"/>
          <w:szCs w:val="24"/>
        </w:rPr>
        <w:t xml:space="preserve"> DE AGOSTO</w:t>
      </w:r>
      <w:r w:rsidRPr="00875530">
        <w:rPr>
          <w:rFonts w:ascii="Palatino Linotype" w:hAnsi="Palatino Linotype"/>
          <w:b/>
          <w:sz w:val="24"/>
          <w:szCs w:val="24"/>
        </w:rPr>
        <w:t xml:space="preserve"> DE DOS MIL DIECIOCHO, EN EL RECURSO DE REVISIÓN </w:t>
      </w:r>
      <w:r w:rsidR="00CF3264">
        <w:rPr>
          <w:rFonts w:ascii="Palatino Linotype" w:hAnsi="Palatino Linotype"/>
          <w:b/>
          <w:bCs/>
          <w:sz w:val="24"/>
          <w:szCs w:val="24"/>
        </w:rPr>
        <w:t>02301</w:t>
      </w:r>
      <w:r w:rsidRPr="00875530">
        <w:rPr>
          <w:rFonts w:ascii="Palatino Linotype" w:hAnsi="Palatino Linotype"/>
          <w:b/>
          <w:bCs/>
          <w:sz w:val="24"/>
          <w:szCs w:val="24"/>
        </w:rPr>
        <w:t>/INFOEM/IP/RR/2018</w:t>
      </w:r>
      <w:r w:rsidRPr="00875530">
        <w:rPr>
          <w:b/>
          <w:noProof/>
          <w:sz w:val="24"/>
          <w:szCs w:val="24"/>
          <w:lang w:eastAsia="es-MX"/>
        </w:rPr>
        <w:t xml:space="preserve"> </w:t>
      </w:r>
    </w:p>
    <w:p w:rsidR="000A7BF7" w:rsidRPr="00850FD4" w:rsidRDefault="000A7BF7" w:rsidP="000A7BF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CF3264">
        <w:rPr>
          <w:rFonts w:ascii="Palatino Linotype" w:hAnsi="Palatino Linotype" w:cs="Arial"/>
          <w:bCs/>
          <w:sz w:val="24"/>
          <w:szCs w:val="24"/>
          <w:lang w:eastAsia="es-MX"/>
        </w:rPr>
        <w:t>02301</w:t>
      </w:r>
      <w:r w:rsidRPr="00875530">
        <w:rPr>
          <w:rFonts w:ascii="Palatino Linotype" w:hAnsi="Palatino Linotype" w:cs="Arial"/>
          <w:bCs/>
          <w:sz w:val="24"/>
          <w:szCs w:val="24"/>
          <w:lang w:eastAsia="es-MX"/>
        </w:rPr>
        <w:t xml:space="preserve">/INFOEM/IP/RR/2018 </w:t>
      </w:r>
      <w:r w:rsidRPr="00875530">
        <w:rPr>
          <w:rFonts w:ascii="Palatino Linotype" w:hAnsi="Palatino Linotype"/>
          <w:sz w:val="24"/>
          <w:szCs w:val="24"/>
        </w:rPr>
        <w:t xml:space="preserve">presentada por la Comisionada Zulema Martínez Sánchez, respecto de la cual, el Comisionado </w:t>
      </w:r>
      <w:r>
        <w:rPr>
          <w:rFonts w:ascii="Palatino Linotype" w:hAnsi="Palatino Linotype"/>
          <w:sz w:val="24"/>
          <w:szCs w:val="24"/>
        </w:rPr>
        <w:t>Javier Martínez Cruz, formula</w:t>
      </w:r>
      <w:r w:rsidRPr="00875530">
        <w:rPr>
          <w:rFonts w:ascii="Palatino Linotype" w:hAnsi="Palatino Linotype"/>
          <w:sz w:val="24"/>
          <w:szCs w:val="24"/>
        </w:rPr>
        <w:t xml:space="preserve"> </w:t>
      </w:r>
      <w:r>
        <w:rPr>
          <w:rFonts w:ascii="Palatino Linotype" w:hAnsi="Palatino Linotype"/>
          <w:b/>
          <w:sz w:val="24"/>
          <w:szCs w:val="24"/>
        </w:rPr>
        <w:t>VOTO PARTICULAR</w:t>
      </w:r>
      <w:r w:rsidRPr="00875530">
        <w:rPr>
          <w:rFonts w:ascii="Palatino Linotype" w:hAnsi="Palatino Linotype"/>
          <w:sz w:val="24"/>
          <w:szCs w:val="24"/>
        </w:rPr>
        <w:t xml:space="preserve">, con fundamento en el </w:t>
      </w:r>
      <w:r w:rsidR="00441FCA">
        <w:rPr>
          <w:rFonts w:ascii="Palatino Linotype" w:hAnsi="Palatino Linotype"/>
          <w:sz w:val="24"/>
          <w:szCs w:val="24"/>
        </w:rPr>
        <w:t>artículo 14</w:t>
      </w:r>
      <w:r w:rsidRPr="00850FD4">
        <w:rPr>
          <w:rFonts w:ascii="Palatino Linotype" w:hAnsi="Palatino Linotype"/>
          <w:sz w:val="24"/>
          <w:szCs w:val="24"/>
        </w:rPr>
        <w:t xml:space="preserve"> </w:t>
      </w:r>
      <w:r w:rsidR="00441FCA" w:rsidRPr="00850FD4">
        <w:rPr>
          <w:rFonts w:ascii="Palatino Linotype" w:hAnsi="Palatino Linotype"/>
          <w:sz w:val="24"/>
          <w:szCs w:val="24"/>
        </w:rPr>
        <w:t>fraccion</w:t>
      </w:r>
      <w:r w:rsidR="00441FCA">
        <w:rPr>
          <w:rFonts w:ascii="Palatino Linotype" w:hAnsi="Palatino Linotype"/>
          <w:sz w:val="24"/>
          <w:szCs w:val="24"/>
        </w:rPr>
        <w:t>es X y</w:t>
      </w:r>
      <w:r w:rsidRPr="00850FD4">
        <w:rPr>
          <w:rFonts w:ascii="Palatino Linotype" w:hAnsi="Palatino Linotype"/>
          <w:sz w:val="24"/>
          <w:szCs w:val="24"/>
        </w:rPr>
        <w:t xml:space="preserve"> XI del Reglamento del Instituto de Transparencia, Acceso a la Información Pública y Protección de Personales Datos del Estado de México.</w:t>
      </w:r>
    </w:p>
    <w:p w:rsidR="000A7BF7" w:rsidRPr="00901FF9" w:rsidRDefault="000A7BF7" w:rsidP="000A7BF7">
      <w:pPr>
        <w:spacing w:before="240" w:after="240" w:line="360" w:lineRule="auto"/>
        <w:jc w:val="both"/>
        <w:rPr>
          <w:rFonts w:ascii="Palatino Linotype" w:hAnsi="Palatino Linotype"/>
          <w:sz w:val="24"/>
          <w:szCs w:val="24"/>
        </w:rPr>
      </w:pPr>
      <w:r w:rsidRPr="00901FF9">
        <w:rPr>
          <w:rFonts w:ascii="Palatino Linotype" w:hAnsi="Palatino Linotype"/>
          <w:sz w:val="24"/>
          <w:szCs w:val="24"/>
        </w:rPr>
        <w:t xml:space="preserve">De </w:t>
      </w:r>
      <w:r>
        <w:rPr>
          <w:rFonts w:ascii="Palatino Linotype" w:hAnsi="Palatino Linotype"/>
          <w:sz w:val="24"/>
          <w:szCs w:val="24"/>
        </w:rPr>
        <w:t>manera previa a la emisión del</w:t>
      </w:r>
      <w:r w:rsidRPr="00901FF9">
        <w:rPr>
          <w:rFonts w:ascii="Palatino Linotype" w:hAnsi="Palatino Linotype"/>
          <w:sz w:val="24"/>
          <w:szCs w:val="24"/>
        </w:rPr>
        <w:t xml:space="preserve"> presente </w:t>
      </w:r>
      <w:r>
        <w:rPr>
          <w:rFonts w:ascii="Palatino Linotype" w:hAnsi="Palatino Linotype"/>
          <w:sz w:val="24"/>
          <w:szCs w:val="24"/>
        </w:rPr>
        <w:t>voto</w:t>
      </w:r>
      <w:r w:rsidRPr="00901FF9">
        <w:rPr>
          <w:rFonts w:ascii="Palatino Linotype" w:hAnsi="Palatino Linotype"/>
          <w:sz w:val="24"/>
          <w:szCs w:val="24"/>
        </w:rPr>
        <w:t xml:space="preserve">, cabe precisar que la materia en que radicó el recurso de revisión, lo fue </w:t>
      </w:r>
      <w:r w:rsidR="007E5647">
        <w:rPr>
          <w:rFonts w:ascii="Palatino Linotype" w:hAnsi="Palatino Linotype"/>
          <w:sz w:val="24"/>
          <w:szCs w:val="24"/>
        </w:rPr>
        <w:t>lo correspondiente</w:t>
      </w:r>
      <w:r w:rsidRPr="00901FF9">
        <w:rPr>
          <w:rFonts w:ascii="Palatino Linotype" w:hAnsi="Palatino Linotype"/>
          <w:sz w:val="24"/>
          <w:szCs w:val="24"/>
        </w:rPr>
        <w:t xml:space="preserve"> </w:t>
      </w:r>
      <w:r w:rsidR="000A31BF">
        <w:rPr>
          <w:rFonts w:ascii="Palatino Linotype" w:hAnsi="Palatino Linotype"/>
          <w:sz w:val="24"/>
          <w:szCs w:val="24"/>
        </w:rPr>
        <w:t>a</w:t>
      </w:r>
      <w:r w:rsidR="000A31BF" w:rsidRPr="000A31BF">
        <w:rPr>
          <w:rFonts w:ascii="Palatino Linotype" w:hAnsi="Palatino Linotype"/>
          <w:sz w:val="24"/>
          <w:szCs w:val="24"/>
        </w:rPr>
        <w:t xml:space="preserve"> cuánto ascienden </w:t>
      </w:r>
      <w:r w:rsidR="007E5647" w:rsidRPr="000A31BF">
        <w:rPr>
          <w:rFonts w:ascii="Palatino Linotype" w:hAnsi="Palatino Linotype"/>
          <w:sz w:val="24"/>
          <w:szCs w:val="24"/>
        </w:rPr>
        <w:t>los recursos económicos y de cualquier otra índole, proporcionados</w:t>
      </w:r>
      <w:r w:rsidR="000A31BF" w:rsidRPr="000A31BF">
        <w:rPr>
          <w:rFonts w:ascii="Palatino Linotype" w:hAnsi="Palatino Linotype"/>
          <w:sz w:val="24"/>
          <w:szCs w:val="24"/>
        </w:rPr>
        <w:t xml:space="preserve"> a su candidato a Presidente Municipal del Municipio de </w:t>
      </w:r>
      <w:proofErr w:type="spellStart"/>
      <w:r w:rsidR="000A31BF" w:rsidRPr="000A31BF">
        <w:rPr>
          <w:rFonts w:ascii="Palatino Linotype" w:hAnsi="Palatino Linotype"/>
          <w:sz w:val="24"/>
          <w:szCs w:val="24"/>
        </w:rPr>
        <w:t>Ozumba</w:t>
      </w:r>
      <w:proofErr w:type="spellEnd"/>
      <w:r w:rsidR="000A31BF" w:rsidRPr="000A31BF">
        <w:rPr>
          <w:rFonts w:ascii="Palatino Linotype" w:hAnsi="Palatino Linotype"/>
          <w:sz w:val="24"/>
          <w:szCs w:val="24"/>
        </w:rPr>
        <w:t>, para las elecciones del 1 de juli</w:t>
      </w:r>
      <w:r w:rsidR="007E5647">
        <w:rPr>
          <w:rFonts w:ascii="Palatino Linotype" w:hAnsi="Palatino Linotype"/>
          <w:sz w:val="24"/>
          <w:szCs w:val="24"/>
        </w:rPr>
        <w:t>o</w:t>
      </w:r>
      <w:r w:rsidR="000A31BF" w:rsidRPr="000A31BF">
        <w:rPr>
          <w:rFonts w:ascii="Palatino Linotype" w:hAnsi="Palatino Linotype"/>
          <w:sz w:val="24"/>
          <w:szCs w:val="24"/>
        </w:rPr>
        <w:t xml:space="preserve"> </w:t>
      </w:r>
      <w:r w:rsidR="007E5647">
        <w:rPr>
          <w:rFonts w:ascii="Palatino Linotype" w:hAnsi="Palatino Linotype"/>
          <w:sz w:val="24"/>
          <w:szCs w:val="24"/>
        </w:rPr>
        <w:lastRenderedPageBreak/>
        <w:t xml:space="preserve">de 2018. </w:t>
      </w:r>
      <w:r w:rsidR="000A31BF" w:rsidRPr="000A31BF">
        <w:rPr>
          <w:rFonts w:ascii="Palatino Linotype" w:hAnsi="Palatino Linotype"/>
          <w:sz w:val="24"/>
          <w:szCs w:val="24"/>
        </w:rPr>
        <w:t>La información se requiere desglosada por especie, es decir, efectivo, propaganda, etc.</w:t>
      </w:r>
    </w:p>
    <w:p w:rsidR="007E5647" w:rsidRPr="00875530" w:rsidRDefault="007E5647" w:rsidP="000A7BF7">
      <w:pPr>
        <w:spacing w:before="240" w:after="240" w:line="360" w:lineRule="auto"/>
        <w:jc w:val="both"/>
        <w:rPr>
          <w:rFonts w:ascii="Palatino Linotype" w:hAnsi="Palatino Linotype"/>
          <w:sz w:val="24"/>
          <w:szCs w:val="24"/>
        </w:rPr>
      </w:pPr>
      <w:r>
        <w:rPr>
          <w:rFonts w:ascii="Palatino Linotype" w:hAnsi="Palatino Linotype"/>
          <w:sz w:val="24"/>
          <w:szCs w:val="24"/>
        </w:rPr>
        <w:t>Posteriormente e</w:t>
      </w:r>
      <w:r w:rsidR="000A7BF7" w:rsidRPr="00875530">
        <w:rPr>
          <w:rFonts w:ascii="Palatino Linotype" w:hAnsi="Palatino Linotype"/>
          <w:sz w:val="24"/>
          <w:szCs w:val="24"/>
        </w:rPr>
        <w:t xml:space="preserve">l Sujeto Obligado, </w:t>
      </w:r>
      <w:r>
        <w:rPr>
          <w:rFonts w:ascii="Palatino Linotype" w:hAnsi="Palatino Linotype"/>
          <w:sz w:val="24"/>
          <w:szCs w:val="24"/>
        </w:rPr>
        <w:t xml:space="preserve">emitió su respuesta concretándose a decir que el financiamiento proporcionado para la campaña del Presidente Municipal de </w:t>
      </w:r>
      <w:proofErr w:type="spellStart"/>
      <w:r>
        <w:rPr>
          <w:rFonts w:ascii="Palatino Linotype" w:hAnsi="Palatino Linotype"/>
          <w:sz w:val="24"/>
          <w:szCs w:val="24"/>
        </w:rPr>
        <w:t>Ozumba</w:t>
      </w:r>
      <w:proofErr w:type="spellEnd"/>
      <w:r>
        <w:rPr>
          <w:rFonts w:ascii="Palatino Linotype" w:hAnsi="Palatino Linotype"/>
          <w:sz w:val="24"/>
          <w:szCs w:val="24"/>
        </w:rPr>
        <w:t>, es el que permite la norma electoral y el monto total es el que será reportado al Instituto Nacional Electoral en los términos precisado en la norma.</w:t>
      </w:r>
    </w:p>
    <w:p w:rsidR="000A7BF7" w:rsidRDefault="007E5647" w:rsidP="000A7BF7">
      <w:pPr>
        <w:spacing w:before="240" w:after="240" w:line="360" w:lineRule="auto"/>
        <w:jc w:val="both"/>
        <w:rPr>
          <w:rFonts w:ascii="Palatino Linotype" w:hAnsi="Palatino Linotype"/>
          <w:sz w:val="24"/>
          <w:szCs w:val="24"/>
        </w:rPr>
      </w:pPr>
      <w:r>
        <w:rPr>
          <w:rFonts w:ascii="Palatino Linotype" w:hAnsi="Palatino Linotype"/>
          <w:sz w:val="24"/>
          <w:szCs w:val="24"/>
        </w:rPr>
        <w:t>Ulteriormente</w:t>
      </w:r>
      <w:r w:rsidR="00441FCA">
        <w:rPr>
          <w:rFonts w:ascii="Palatino Linotype" w:hAnsi="Palatino Linotype"/>
          <w:sz w:val="24"/>
          <w:szCs w:val="24"/>
        </w:rPr>
        <w:t>,</w:t>
      </w:r>
      <w:r w:rsidR="000A7BF7">
        <w:rPr>
          <w:rFonts w:ascii="Palatino Linotype" w:hAnsi="Palatino Linotype"/>
          <w:sz w:val="24"/>
          <w:szCs w:val="24"/>
        </w:rPr>
        <w:t xml:space="preserve"> en fecha </w:t>
      </w:r>
      <w:r w:rsidR="00E40939">
        <w:rPr>
          <w:rFonts w:ascii="Palatino Linotype" w:hAnsi="Palatino Linotype"/>
          <w:sz w:val="24"/>
          <w:szCs w:val="24"/>
        </w:rPr>
        <w:t xml:space="preserve">tres de julio </w:t>
      </w:r>
      <w:r w:rsidR="000A7BF7">
        <w:rPr>
          <w:rFonts w:ascii="Palatino Linotype" w:hAnsi="Palatino Linotype"/>
          <w:sz w:val="24"/>
          <w:szCs w:val="24"/>
        </w:rPr>
        <w:t xml:space="preserve">del año en curso el Sujeto Obligado </w:t>
      </w:r>
      <w:r w:rsidR="00E40939">
        <w:rPr>
          <w:rFonts w:ascii="Palatino Linotype" w:hAnsi="Palatino Linotype"/>
          <w:sz w:val="24"/>
          <w:szCs w:val="24"/>
        </w:rPr>
        <w:t>envió a través del informe justificado, información relacionada con la solicitud de acceso de información del particular, la cual se puso a la vista para que en el término de tres días el recurrente manifestara lo que a su Derecho corresponda, sin que se pronunciara al respecto.</w:t>
      </w:r>
    </w:p>
    <w:p w:rsidR="00DE696A" w:rsidRDefault="00E40939" w:rsidP="00DE696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Después del cierre de instrucción, el Sujeto Obligado </w:t>
      </w:r>
      <w:r w:rsidR="00DE696A">
        <w:rPr>
          <w:rFonts w:ascii="Palatino Linotype" w:hAnsi="Palatino Linotype" w:cs="Arial"/>
          <w:sz w:val="24"/>
          <w:szCs w:val="24"/>
        </w:rPr>
        <w:t xml:space="preserve">el quince de agosto del año en curso, </w:t>
      </w:r>
      <w:r>
        <w:rPr>
          <w:rFonts w:ascii="Palatino Linotype" w:hAnsi="Palatino Linotype" w:cs="Arial"/>
          <w:sz w:val="24"/>
          <w:szCs w:val="24"/>
        </w:rPr>
        <w:t xml:space="preserve">envía un correo electrónico al coordinador de proyectos de la ponencia resolutora, información </w:t>
      </w:r>
      <w:r w:rsidR="00DE696A">
        <w:rPr>
          <w:rFonts w:ascii="Palatino Linotype" w:hAnsi="Palatino Linotype" w:cs="Arial"/>
          <w:sz w:val="24"/>
          <w:szCs w:val="24"/>
        </w:rPr>
        <w:t xml:space="preserve">en </w:t>
      </w:r>
      <w:r>
        <w:rPr>
          <w:rFonts w:ascii="Palatino Linotype" w:hAnsi="Palatino Linotype" w:cs="Arial"/>
          <w:sz w:val="24"/>
          <w:szCs w:val="24"/>
        </w:rPr>
        <w:t xml:space="preserve">alcance </w:t>
      </w:r>
      <w:r w:rsidR="00DE696A">
        <w:rPr>
          <w:rFonts w:ascii="Palatino Linotype" w:hAnsi="Palatino Linotype" w:cs="Arial"/>
          <w:sz w:val="24"/>
          <w:szCs w:val="24"/>
        </w:rPr>
        <w:t>al</w:t>
      </w:r>
      <w:r>
        <w:rPr>
          <w:rFonts w:ascii="Palatino Linotype" w:hAnsi="Palatino Linotype" w:cs="Arial"/>
          <w:sz w:val="24"/>
          <w:szCs w:val="24"/>
        </w:rPr>
        <w:t xml:space="preserve"> informe justificado, </w:t>
      </w:r>
      <w:r w:rsidR="00DE696A">
        <w:rPr>
          <w:rFonts w:ascii="Palatino Linotype" w:hAnsi="Palatino Linotype" w:cs="Arial"/>
          <w:sz w:val="24"/>
          <w:szCs w:val="24"/>
        </w:rPr>
        <w:t xml:space="preserve">de la que </w:t>
      </w:r>
      <w:r>
        <w:rPr>
          <w:rFonts w:ascii="Palatino Linotype" w:hAnsi="Palatino Linotype" w:cs="Arial"/>
          <w:sz w:val="24"/>
          <w:szCs w:val="24"/>
        </w:rPr>
        <w:t xml:space="preserve">se desprende información más a detalle </w:t>
      </w:r>
      <w:r w:rsidR="00DE696A">
        <w:rPr>
          <w:rFonts w:ascii="Palatino Linotype" w:hAnsi="Palatino Linotype" w:cs="Arial"/>
          <w:sz w:val="24"/>
          <w:szCs w:val="24"/>
        </w:rPr>
        <w:t>respecto de lo</w:t>
      </w:r>
      <w:r>
        <w:rPr>
          <w:rFonts w:ascii="Palatino Linotype" w:hAnsi="Palatino Linotype" w:cs="Arial"/>
          <w:sz w:val="24"/>
          <w:szCs w:val="24"/>
        </w:rPr>
        <w:t xml:space="preserve"> solicitado por e</w:t>
      </w:r>
      <w:r w:rsidR="00DE696A">
        <w:rPr>
          <w:rFonts w:ascii="Palatino Linotype" w:hAnsi="Palatino Linotype" w:cs="Arial"/>
          <w:sz w:val="24"/>
          <w:szCs w:val="24"/>
        </w:rPr>
        <w:t xml:space="preserve">l particular; si bien es cierto, que ya se había decretado el cierre de instrucción correspondía a la ponencia resolutora decretar si tomaba en cuenta o no la información para determinar el sentido de la resolución; siendo este el sobreseimiento del recurso de revisión en virtud de la información remitida por el Sujeto Obligado en informe justificado y su respectivo alcance, </w:t>
      </w:r>
      <w:r w:rsidR="00BA1613">
        <w:rPr>
          <w:rFonts w:ascii="Palatino Linotype" w:hAnsi="Palatino Linotype" w:cs="Arial"/>
          <w:sz w:val="24"/>
          <w:szCs w:val="24"/>
        </w:rPr>
        <w:t>por la aportación de</w:t>
      </w:r>
      <w:r w:rsidR="00DE696A">
        <w:rPr>
          <w:rFonts w:ascii="Palatino Linotype" w:hAnsi="Palatino Linotype" w:cs="Arial"/>
          <w:sz w:val="24"/>
          <w:szCs w:val="24"/>
        </w:rPr>
        <w:t xml:space="preserve"> nuevos elementos a la</w:t>
      </w:r>
      <w:r w:rsidR="00BA1613">
        <w:rPr>
          <w:rFonts w:ascii="Palatino Linotype" w:hAnsi="Palatino Linotype" w:cs="Arial"/>
          <w:sz w:val="24"/>
          <w:szCs w:val="24"/>
        </w:rPr>
        <w:t xml:space="preserve"> respuesta original, dejando por</w:t>
      </w:r>
      <w:r w:rsidR="00DE696A">
        <w:rPr>
          <w:rFonts w:ascii="Palatino Linotype" w:hAnsi="Palatino Linotype" w:cs="Arial"/>
          <w:sz w:val="24"/>
          <w:szCs w:val="24"/>
        </w:rPr>
        <w:t xml:space="preserve"> lo tanto sin materia el recurso de revisión</w:t>
      </w:r>
      <w:r w:rsidR="00BA1613">
        <w:rPr>
          <w:rFonts w:ascii="Palatino Linotype" w:hAnsi="Palatino Linotype" w:cs="Arial"/>
          <w:sz w:val="24"/>
          <w:szCs w:val="24"/>
        </w:rPr>
        <w:t>.</w:t>
      </w:r>
    </w:p>
    <w:p w:rsidR="00BA1613" w:rsidRDefault="00BA1613" w:rsidP="00DE696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Cabe mencionar, si bien el Sujeto Obligado modifica su respuesta con el informe justificado y su respectivo alcance; la verdad es que la ponencia resolutora debió poner a la vista la información proporcionada por el Sujeto Obligado en el alcance al informe justificado, para que el recurrente se manifestara al respecto y al no hacerlo se deja en un estado de indefensión, en atención a lo siguiente:</w:t>
      </w:r>
    </w:p>
    <w:p w:rsidR="005857E0" w:rsidRDefault="005857E0" w:rsidP="005857E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la resolución motivo del presente voto</w:t>
      </w:r>
      <w:r w:rsidRPr="00984CF6">
        <w:rPr>
          <w:rFonts w:ascii="Palatino Linotype" w:hAnsi="Palatino Linotype" w:cs="Arial"/>
          <w:sz w:val="24"/>
          <w:szCs w:val="24"/>
        </w:rPr>
        <w:t xml:space="preserve"> no se analiza si el Sujeto Obligado genera, posee o administra la información que le fue requerida en razón del ejercicio de las distintas facultades competencias y funciones que los ordenamientos jurídicos le confieren; y por ende mucho meno</w:t>
      </w:r>
      <w:r>
        <w:rPr>
          <w:rFonts w:ascii="Palatino Linotype" w:hAnsi="Palatino Linotype" w:cs="Arial"/>
          <w:sz w:val="24"/>
          <w:szCs w:val="24"/>
        </w:rPr>
        <w:t xml:space="preserve">s se analiza la procedencia de la </w:t>
      </w:r>
      <w:r w:rsidRPr="00984CF6">
        <w:rPr>
          <w:rFonts w:ascii="Palatino Linotype" w:hAnsi="Palatino Linotype" w:cs="Arial"/>
          <w:sz w:val="24"/>
          <w:szCs w:val="24"/>
        </w:rPr>
        <w:t>entrega de la información</w:t>
      </w:r>
      <w:r>
        <w:rPr>
          <w:rFonts w:ascii="Palatino Linotype" w:hAnsi="Palatino Linotype" w:cs="Arial"/>
          <w:sz w:val="24"/>
          <w:szCs w:val="24"/>
        </w:rPr>
        <w:t>, por considerar que é</w:t>
      </w:r>
      <w:r w:rsidRPr="00984CF6">
        <w:rPr>
          <w:rFonts w:ascii="Palatino Linotype" w:hAnsi="Palatino Linotype" w:cs="Arial"/>
          <w:sz w:val="24"/>
          <w:szCs w:val="24"/>
        </w:rPr>
        <w:t xml:space="preserve">ste fue hecho con los debidos argumentos y motivos legales expuestos </w:t>
      </w:r>
      <w:r>
        <w:rPr>
          <w:rFonts w:ascii="Palatino Linotype" w:hAnsi="Palatino Linotype" w:cs="Arial"/>
          <w:sz w:val="24"/>
          <w:szCs w:val="24"/>
        </w:rPr>
        <w:t>por el Sujeto Obligado al emitir su respuesta.</w:t>
      </w:r>
    </w:p>
    <w:p w:rsidR="009C42ED" w:rsidRPr="009C42ED" w:rsidRDefault="0055120A" w:rsidP="009C42E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Se</w:t>
      </w:r>
      <w:r w:rsidR="009C42ED" w:rsidRPr="009C42ED">
        <w:rPr>
          <w:rFonts w:ascii="Palatino Linotype" w:hAnsi="Palatino Linotype" w:cs="Arial"/>
          <w:sz w:val="24"/>
          <w:szCs w:val="24"/>
        </w:rPr>
        <w:t xml:space="preserve"> coincide en su mayoría con los argumentos vertidos por la ponencia al momento de resolver el presente medio de impugnación. Sin embargo, he decidido realizar el presente voto particular, para exponer </w:t>
      </w:r>
      <w:r w:rsidR="009C42ED">
        <w:rPr>
          <w:rFonts w:ascii="Palatino Linotype" w:hAnsi="Palatino Linotype" w:cs="Arial"/>
          <w:sz w:val="24"/>
          <w:szCs w:val="24"/>
        </w:rPr>
        <w:t>la</w:t>
      </w:r>
      <w:r w:rsidR="009C42ED" w:rsidRPr="009C42ED">
        <w:rPr>
          <w:rFonts w:ascii="Palatino Linotype" w:hAnsi="Palatino Linotype" w:cs="Arial"/>
          <w:sz w:val="24"/>
          <w:szCs w:val="24"/>
        </w:rPr>
        <w:t xml:space="preserve"> </w:t>
      </w:r>
      <w:r w:rsidR="009C42ED">
        <w:rPr>
          <w:rFonts w:ascii="Palatino Linotype" w:hAnsi="Palatino Linotype" w:cs="Arial"/>
          <w:sz w:val="24"/>
          <w:szCs w:val="24"/>
        </w:rPr>
        <w:t>siguiente</w:t>
      </w:r>
      <w:r w:rsidR="009C42ED" w:rsidRPr="009C42ED">
        <w:rPr>
          <w:rFonts w:ascii="Palatino Linotype" w:hAnsi="Palatino Linotype" w:cs="Arial"/>
          <w:sz w:val="24"/>
          <w:szCs w:val="24"/>
        </w:rPr>
        <w:t xml:space="preserve"> </w:t>
      </w:r>
      <w:r>
        <w:rPr>
          <w:rFonts w:ascii="Palatino Linotype" w:hAnsi="Palatino Linotype" w:cs="Arial"/>
          <w:sz w:val="24"/>
          <w:szCs w:val="24"/>
        </w:rPr>
        <w:t>razón</w:t>
      </w:r>
      <w:r w:rsidR="009C42ED" w:rsidRPr="009C42ED">
        <w:rPr>
          <w:rFonts w:ascii="Palatino Linotype" w:hAnsi="Palatino Linotype" w:cs="Arial"/>
          <w:sz w:val="24"/>
          <w:szCs w:val="24"/>
        </w:rPr>
        <w:t xml:space="preserve"> que me separan de estar de acuerdo en su totalidad con lo resuelto.</w:t>
      </w:r>
    </w:p>
    <w:p w:rsidR="009C42ED" w:rsidRDefault="009C42ED" w:rsidP="009C42ED">
      <w:pPr>
        <w:spacing w:before="240" w:after="240" w:line="360" w:lineRule="auto"/>
        <w:jc w:val="both"/>
        <w:rPr>
          <w:rFonts w:ascii="Palatino Linotype" w:hAnsi="Palatino Linotype" w:cs="Arial"/>
          <w:sz w:val="24"/>
          <w:szCs w:val="24"/>
        </w:rPr>
      </w:pPr>
      <w:r w:rsidRPr="009C42ED">
        <w:rPr>
          <w:rFonts w:ascii="Palatino Linotype" w:hAnsi="Palatino Linotype" w:cs="Arial"/>
          <w:sz w:val="24"/>
          <w:szCs w:val="24"/>
        </w:rPr>
        <w:t>Al respecto, se debe partir recordando que todo proceso está constituido</w:t>
      </w:r>
      <w:r w:rsidR="0055120A">
        <w:rPr>
          <w:rFonts w:ascii="Palatino Linotype" w:hAnsi="Palatino Linotype" w:cs="Arial"/>
          <w:sz w:val="24"/>
          <w:szCs w:val="24"/>
        </w:rPr>
        <w:t xml:space="preserve">: </w:t>
      </w:r>
      <w:r w:rsidRPr="009C42ED">
        <w:rPr>
          <w:rFonts w:ascii="Palatino Linotype" w:hAnsi="Palatino Linotype" w:cs="Arial"/>
          <w:sz w:val="24"/>
          <w:szCs w:val="24"/>
        </w:rPr>
        <w:t>por la existencia y subsistencia de un litigio entre partes, que en l</w:t>
      </w:r>
      <w:r w:rsidR="0055120A">
        <w:rPr>
          <w:rFonts w:ascii="Palatino Linotype" w:hAnsi="Palatino Linotype" w:cs="Arial"/>
          <w:sz w:val="24"/>
          <w:szCs w:val="24"/>
        </w:rPr>
        <w:t>a definición de Carnelutti "…</w:t>
      </w:r>
      <w:r w:rsidRPr="009C42ED">
        <w:rPr>
          <w:rFonts w:ascii="Palatino Linotype" w:hAnsi="Palatino Linotype" w:cs="Arial"/>
          <w:sz w:val="24"/>
          <w:szCs w:val="24"/>
        </w:rPr>
        <w:t xml:space="preserve">es el conflicto de intereses calificado por la pretensión de uno de los interesados y la resistencia del otro, toda vez que esta oposición de intereses es lo que constituye la materia del </w:t>
      </w:r>
      <w:r w:rsidR="0055120A" w:rsidRPr="009C42ED">
        <w:rPr>
          <w:rFonts w:ascii="Palatino Linotype" w:hAnsi="Palatino Linotype" w:cs="Arial"/>
          <w:sz w:val="24"/>
          <w:szCs w:val="24"/>
        </w:rPr>
        <w:t>proceso...</w:t>
      </w:r>
      <w:r w:rsidR="0055120A">
        <w:rPr>
          <w:rFonts w:ascii="Palatino Linotype" w:hAnsi="Palatino Linotype" w:cs="Arial"/>
          <w:sz w:val="24"/>
          <w:szCs w:val="24"/>
        </w:rPr>
        <w:t>"</w:t>
      </w:r>
    </w:p>
    <w:p w:rsidR="0055120A" w:rsidRDefault="0055120A" w:rsidP="0055120A">
      <w:pPr>
        <w:spacing w:before="240" w:after="240" w:line="360" w:lineRule="auto"/>
        <w:jc w:val="both"/>
        <w:rPr>
          <w:rFonts w:ascii="Palatino Linotype" w:hAnsi="Palatino Linotype" w:cs="Arial"/>
          <w:sz w:val="24"/>
          <w:szCs w:val="24"/>
        </w:rPr>
      </w:pPr>
      <w:r w:rsidRPr="0055120A">
        <w:rPr>
          <w:rFonts w:ascii="Palatino Linotype" w:hAnsi="Palatino Linotype" w:cs="Arial"/>
          <w:sz w:val="24"/>
          <w:szCs w:val="24"/>
        </w:rPr>
        <w:lastRenderedPageBreak/>
        <w:t>Así mismo coincido que, cuando cesa, desaparece o se extingue el litigio, por el surgimiento de una cuestión que deja sin materia el medio ejercido por el recurrente o porque deja de existir la pretensión, la controversia queda sin materia, y por tanto ya no tiene objeto alguno continuar con el procedimiento de instrucción y preparación de la sentencia y el dictado mismo de ésta, ante lo cual procede darlo por concluido sin entrar al fondo de los intereses de las partes.</w:t>
      </w:r>
    </w:p>
    <w:p w:rsidR="0055120A" w:rsidRPr="0055120A" w:rsidRDefault="0055120A" w:rsidP="0055120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orden de ideas la</w:t>
      </w:r>
      <w:r w:rsidRPr="0055120A">
        <w:rPr>
          <w:rFonts w:ascii="Palatino Linotype" w:hAnsi="Palatino Linotype" w:cs="Arial"/>
          <w:sz w:val="24"/>
          <w:szCs w:val="24"/>
        </w:rPr>
        <w:t xml:space="preserve"> causa que me aparta de contenido a plenitud de la resolución que se dictó, es en torno a una posible vulneración del derecho del particular, que siendo parte del procedimiento, al no habe</w:t>
      </w:r>
      <w:r>
        <w:rPr>
          <w:rFonts w:ascii="Palatino Linotype" w:hAnsi="Palatino Linotype" w:cs="Arial"/>
          <w:sz w:val="24"/>
          <w:szCs w:val="24"/>
        </w:rPr>
        <w:t>rse hecho de su conocimiento la información enviada al alcance del informe justificado</w:t>
      </w:r>
      <w:r w:rsidRPr="0055120A">
        <w:rPr>
          <w:rFonts w:ascii="Palatino Linotype" w:hAnsi="Palatino Linotype" w:cs="Arial"/>
          <w:sz w:val="24"/>
          <w:szCs w:val="24"/>
        </w:rPr>
        <w:t xml:space="preserve"> que sobreseen su causa, se </w:t>
      </w:r>
      <w:r>
        <w:rPr>
          <w:rFonts w:ascii="Palatino Linotype" w:hAnsi="Palatino Linotype" w:cs="Arial"/>
          <w:sz w:val="24"/>
          <w:szCs w:val="24"/>
        </w:rPr>
        <w:t>vulnera</w:t>
      </w:r>
      <w:r w:rsidRPr="0055120A">
        <w:rPr>
          <w:rFonts w:ascii="Palatino Linotype" w:hAnsi="Palatino Linotype" w:cs="Arial"/>
          <w:sz w:val="24"/>
          <w:szCs w:val="24"/>
        </w:rPr>
        <w:t xml:space="preserve"> en su perjuicio el principio de seguridad </w:t>
      </w:r>
      <w:r>
        <w:rPr>
          <w:rFonts w:ascii="Palatino Linotype" w:hAnsi="Palatino Linotype" w:cs="Arial"/>
          <w:sz w:val="24"/>
          <w:szCs w:val="24"/>
        </w:rPr>
        <w:t>jurídica.</w:t>
      </w:r>
      <w:r>
        <w:rPr>
          <w:rStyle w:val="Refdenotaalpie"/>
          <w:rFonts w:ascii="Palatino Linotype" w:hAnsi="Palatino Linotype" w:cs="Arial"/>
          <w:sz w:val="24"/>
          <w:szCs w:val="24"/>
        </w:rPr>
        <w:footnoteReference w:id="1"/>
      </w:r>
    </w:p>
    <w:p w:rsidR="0055120A" w:rsidRDefault="0055120A" w:rsidP="0055120A">
      <w:pPr>
        <w:spacing w:before="240" w:after="240" w:line="360" w:lineRule="auto"/>
        <w:jc w:val="both"/>
        <w:rPr>
          <w:rFonts w:ascii="Palatino Linotype" w:hAnsi="Palatino Linotype" w:cs="Arial"/>
          <w:sz w:val="24"/>
          <w:szCs w:val="24"/>
        </w:rPr>
      </w:pPr>
      <w:r w:rsidRPr="0055120A">
        <w:rPr>
          <w:rFonts w:ascii="Palatino Linotype" w:hAnsi="Palatino Linotype" w:cs="Arial"/>
          <w:sz w:val="24"/>
          <w:szCs w:val="24"/>
        </w:rPr>
        <w:t>Lo anterior es así pues el principio de seguridad jurídica supone la expectativa razonablemente fundada del ciudadano en cuál ha de ser la actuación del poder  en aplicación del derecho.</w:t>
      </w:r>
      <w:r>
        <w:rPr>
          <w:rStyle w:val="Refdenotaalpie"/>
          <w:rFonts w:ascii="Palatino Linotype" w:hAnsi="Palatino Linotype" w:cs="Arial"/>
          <w:sz w:val="24"/>
          <w:szCs w:val="24"/>
        </w:rPr>
        <w:footnoteReference w:id="2"/>
      </w:r>
    </w:p>
    <w:p w:rsidR="0055120A" w:rsidRPr="0055120A" w:rsidRDefault="0055120A" w:rsidP="0055120A">
      <w:pPr>
        <w:spacing w:before="240" w:after="240" w:line="360" w:lineRule="auto"/>
        <w:jc w:val="both"/>
        <w:rPr>
          <w:rFonts w:ascii="Palatino Linotype" w:hAnsi="Palatino Linotype" w:cs="Arial"/>
          <w:sz w:val="24"/>
          <w:szCs w:val="24"/>
        </w:rPr>
      </w:pPr>
      <w:r w:rsidRPr="0055120A">
        <w:rPr>
          <w:rFonts w:ascii="Palatino Linotype" w:hAnsi="Palatino Linotype" w:cs="Arial"/>
          <w:sz w:val="24"/>
          <w:szCs w:val="24"/>
        </w:rPr>
        <w:t xml:space="preserve">Al respecto, la Suprema Corte de justicia de la Nación en la Tesis de jurisprudencia 144/2006. Aprobada por la Segunda Sala, en sesión privada del veintinueve de septiembre de dos mil seis, ha señalado que la garantía de Seguridad Jurídica, prevista en el artículo 16 de la </w:t>
      </w:r>
      <w:r w:rsidR="005857E0">
        <w:rPr>
          <w:rFonts w:ascii="Palatino Linotype" w:hAnsi="Palatino Linotype" w:cs="Arial"/>
          <w:sz w:val="24"/>
          <w:szCs w:val="24"/>
        </w:rPr>
        <w:t xml:space="preserve">Constitución Política de los Estados Unidos </w:t>
      </w:r>
      <w:r w:rsidR="005857E0">
        <w:rPr>
          <w:rFonts w:ascii="Palatino Linotype" w:hAnsi="Palatino Linotype" w:cs="Arial"/>
          <w:sz w:val="24"/>
          <w:szCs w:val="24"/>
        </w:rPr>
        <w:lastRenderedPageBreak/>
        <w:t>Mexicanos debe contener</w:t>
      </w:r>
      <w:r w:rsidRPr="0055120A">
        <w:rPr>
          <w:rFonts w:ascii="Palatino Linotype" w:hAnsi="Palatino Linotype" w:cs="Arial"/>
          <w:sz w:val="24"/>
          <w:szCs w:val="24"/>
        </w:rPr>
        <w:t xml:space="preserve"> los</w:t>
      </w:r>
      <w:r w:rsidR="005857E0">
        <w:rPr>
          <w:rFonts w:ascii="Palatino Linotype" w:hAnsi="Palatino Linotype" w:cs="Arial"/>
          <w:sz w:val="24"/>
          <w:szCs w:val="24"/>
        </w:rPr>
        <w:t xml:space="preserve"> elementos mínimos para hacer valer el derecho del gobernado</w:t>
      </w:r>
      <w:r w:rsidRPr="0055120A">
        <w:rPr>
          <w:rFonts w:ascii="Palatino Linotype" w:hAnsi="Palatino Linotype" w:cs="Arial"/>
          <w:sz w:val="24"/>
          <w:szCs w:val="24"/>
        </w:rPr>
        <w:t xml:space="preserve"> </w:t>
      </w:r>
      <w:r w:rsidR="005857E0">
        <w:rPr>
          <w:rFonts w:ascii="Palatino Linotype" w:hAnsi="Palatino Linotype" w:cs="Arial"/>
          <w:sz w:val="24"/>
          <w:szCs w:val="24"/>
        </w:rPr>
        <w:t>y para</w:t>
      </w:r>
      <w:r w:rsidRPr="0055120A">
        <w:rPr>
          <w:rFonts w:ascii="Palatino Linotype" w:hAnsi="Palatino Linotype" w:cs="Arial"/>
          <w:sz w:val="24"/>
          <w:szCs w:val="24"/>
        </w:rPr>
        <w:t xml:space="preserve"> que, sobre este aspecto, la autoridad no incurra en arbitrariedades.</w:t>
      </w:r>
    </w:p>
    <w:p w:rsid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Por lo tanto, dicha garantía no se debe entender como una simple comunicación a la parte afectada para que tenga conocimiento de un acto que lo puede perjudicar, sino que es necesario darle a conocer el acto de forma completa, clara y abierta, esto es, dar la oportunidad de controvertir las actuaciones que de forma tajante dejen sin materia el medio de impugnación, asimismo, en saber a qué atenerse, con tal grado de certidumbre que no quede en estado de indefensión.</w:t>
      </w:r>
    </w:p>
    <w:p w:rsidR="005857E0" w:rsidRP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 xml:space="preserve">En </w:t>
      </w:r>
      <w:r>
        <w:rPr>
          <w:rFonts w:ascii="Palatino Linotype" w:hAnsi="Palatino Linotype" w:cs="Arial"/>
          <w:sz w:val="24"/>
          <w:szCs w:val="24"/>
        </w:rPr>
        <w:t>e</w:t>
      </w:r>
      <w:r w:rsidRPr="005857E0">
        <w:rPr>
          <w:rFonts w:ascii="Palatino Linotype" w:hAnsi="Palatino Linotype" w:cs="Arial"/>
          <w:sz w:val="24"/>
          <w:szCs w:val="24"/>
        </w:rPr>
        <w:t>ste sentido cabe puntualizar, que el conocimiento completo del acto que podría contener una violación de derechos humanos, es esencial para respetar el derecho a la seguridad jurídica del afectado.</w:t>
      </w:r>
    </w:p>
    <w:p w:rsid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Es por eso que en nuestro derecho, se establece la figura de la notificación, que es un acto revestido de formalidades, que tienen por objeto, principalmente, el seguimiento obligatorio de un protocolo que el legislador ha considerado suficiente para presumir con alta probabilidad, que el destinatario ha tenido conocimiento completo del acto a notificar.</w:t>
      </w:r>
    </w:p>
    <w:p w:rsidR="005857E0" w:rsidRDefault="005857E0" w:rsidP="005857E0">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 xml:space="preserve">Por lo que considero que la </w:t>
      </w:r>
      <w:r>
        <w:rPr>
          <w:rFonts w:ascii="Palatino Linotype" w:hAnsi="Palatino Linotype" w:cs="Arial"/>
          <w:sz w:val="24"/>
          <w:szCs w:val="24"/>
        </w:rPr>
        <w:t>resolución</w:t>
      </w:r>
      <w:r w:rsidRPr="005857E0">
        <w:rPr>
          <w:rFonts w:ascii="Palatino Linotype" w:hAnsi="Palatino Linotype" w:cs="Arial"/>
          <w:sz w:val="24"/>
          <w:szCs w:val="24"/>
        </w:rPr>
        <w:t xml:space="preserve"> que sóbrese </w:t>
      </w:r>
      <w:r w:rsidR="00EB0884">
        <w:rPr>
          <w:rFonts w:ascii="Palatino Linotype" w:hAnsi="Palatino Linotype" w:cs="Arial"/>
          <w:sz w:val="24"/>
          <w:szCs w:val="24"/>
        </w:rPr>
        <w:t>la causa</w:t>
      </w:r>
      <w:r w:rsidRPr="005857E0">
        <w:rPr>
          <w:rFonts w:ascii="Palatino Linotype" w:hAnsi="Palatino Linotype" w:cs="Arial"/>
          <w:sz w:val="24"/>
          <w:szCs w:val="24"/>
        </w:rPr>
        <w:t xml:space="preserve"> de</w:t>
      </w:r>
      <w:r>
        <w:rPr>
          <w:rFonts w:ascii="Palatino Linotype" w:hAnsi="Palatino Linotype" w:cs="Arial"/>
          <w:sz w:val="24"/>
          <w:szCs w:val="24"/>
        </w:rPr>
        <w:t>l</w:t>
      </w:r>
      <w:r w:rsidRPr="005857E0">
        <w:rPr>
          <w:rFonts w:ascii="Palatino Linotype" w:hAnsi="Palatino Linotype" w:cs="Arial"/>
          <w:sz w:val="24"/>
          <w:szCs w:val="24"/>
        </w:rPr>
        <w:t xml:space="preserve"> particular al derivar </w:t>
      </w:r>
      <w:r>
        <w:rPr>
          <w:rFonts w:ascii="Palatino Linotype" w:hAnsi="Palatino Linotype" w:cs="Arial"/>
          <w:sz w:val="24"/>
          <w:szCs w:val="24"/>
        </w:rPr>
        <w:t xml:space="preserve">de una nueva información que modifica la respuesta de origen y </w:t>
      </w:r>
      <w:r w:rsidRPr="005857E0">
        <w:rPr>
          <w:rFonts w:ascii="Palatino Linotype" w:hAnsi="Palatino Linotype" w:cs="Arial"/>
          <w:sz w:val="24"/>
          <w:szCs w:val="24"/>
        </w:rPr>
        <w:t xml:space="preserve">al no ser </w:t>
      </w:r>
      <w:r>
        <w:rPr>
          <w:rFonts w:ascii="Palatino Linotype" w:hAnsi="Palatino Linotype" w:cs="Arial"/>
          <w:sz w:val="24"/>
          <w:szCs w:val="24"/>
        </w:rPr>
        <w:t>dada</w:t>
      </w:r>
      <w:r w:rsidRPr="005857E0">
        <w:rPr>
          <w:rFonts w:ascii="Palatino Linotype" w:hAnsi="Palatino Linotype" w:cs="Arial"/>
          <w:sz w:val="24"/>
          <w:szCs w:val="24"/>
        </w:rPr>
        <w:t xml:space="preserve"> a</w:t>
      </w:r>
      <w:r w:rsidR="00EB0884">
        <w:rPr>
          <w:rFonts w:ascii="Palatino Linotype" w:hAnsi="Palatino Linotype" w:cs="Arial"/>
          <w:sz w:val="24"/>
          <w:szCs w:val="24"/>
        </w:rPr>
        <w:t xml:space="preserve"> conocer al particular la documental que fue tomada</w:t>
      </w:r>
      <w:r w:rsidRPr="005857E0">
        <w:rPr>
          <w:rFonts w:ascii="Palatino Linotype" w:hAnsi="Palatino Linotype" w:cs="Arial"/>
          <w:sz w:val="24"/>
          <w:szCs w:val="24"/>
        </w:rPr>
        <w:t xml:space="preserve"> en consideración, sostengo que transgrede el principio de seguridad jurídica, toda vez que en su contenido no se encuentran los elementos mínimos para que el gobernado pueda hacer valer sus </w:t>
      </w:r>
      <w:r w:rsidRPr="005857E0">
        <w:rPr>
          <w:rFonts w:ascii="Palatino Linotype" w:hAnsi="Palatino Linotype" w:cs="Arial"/>
          <w:sz w:val="24"/>
          <w:szCs w:val="24"/>
        </w:rPr>
        <w:lastRenderedPageBreak/>
        <w:t xml:space="preserve">derechos, lo que implica que se deje abierta la posibilidad de </w:t>
      </w:r>
      <w:r w:rsidR="00DE6C84">
        <w:rPr>
          <w:rFonts w:ascii="Palatino Linotype" w:hAnsi="Palatino Linotype" w:cs="Arial"/>
          <w:sz w:val="24"/>
          <w:szCs w:val="24"/>
        </w:rPr>
        <w:t>que las autoridades incurran en</w:t>
      </w:r>
      <w:r w:rsidRPr="005857E0">
        <w:rPr>
          <w:rFonts w:ascii="Palatino Linotype" w:hAnsi="Palatino Linotype" w:cs="Arial"/>
          <w:sz w:val="24"/>
          <w:szCs w:val="24"/>
        </w:rPr>
        <w:t xml:space="preserve"> arbitrariedades.</w:t>
      </w:r>
    </w:p>
    <w:p w:rsidR="009C42ED" w:rsidRDefault="005857E0" w:rsidP="000A7BF7">
      <w:pPr>
        <w:spacing w:before="240" w:after="240" w:line="360" w:lineRule="auto"/>
        <w:jc w:val="both"/>
        <w:rPr>
          <w:rFonts w:ascii="Palatino Linotype" w:hAnsi="Palatino Linotype" w:cs="Arial"/>
          <w:sz w:val="24"/>
          <w:szCs w:val="24"/>
        </w:rPr>
      </w:pPr>
      <w:r w:rsidRPr="005857E0">
        <w:rPr>
          <w:rFonts w:ascii="Palatino Linotype" w:hAnsi="Palatino Linotype" w:cs="Arial"/>
          <w:sz w:val="24"/>
          <w:szCs w:val="24"/>
        </w:rPr>
        <w:t>En este sentido, se debió garantizar su</w:t>
      </w:r>
      <w:r w:rsidR="00EB0884">
        <w:rPr>
          <w:rFonts w:ascii="Palatino Linotype" w:hAnsi="Palatino Linotype" w:cs="Arial"/>
          <w:sz w:val="24"/>
          <w:szCs w:val="24"/>
        </w:rPr>
        <w:t>s</w:t>
      </w:r>
      <w:r w:rsidRPr="005857E0">
        <w:rPr>
          <w:rFonts w:ascii="Palatino Linotype" w:hAnsi="Palatino Linotype" w:cs="Arial"/>
          <w:sz w:val="24"/>
          <w:szCs w:val="24"/>
        </w:rPr>
        <w:t xml:space="preserve"> derechos del particular para conocer y manifestar su defensa respecto de los alcances </w:t>
      </w:r>
      <w:r w:rsidR="00EB0884">
        <w:rPr>
          <w:rFonts w:ascii="Palatino Linotype" w:hAnsi="Palatino Linotype" w:cs="Arial"/>
          <w:sz w:val="24"/>
          <w:szCs w:val="24"/>
        </w:rPr>
        <w:t>que dejaron sin materia el Recurso de Revisión</w:t>
      </w:r>
      <w:r w:rsidRPr="005857E0">
        <w:rPr>
          <w:rFonts w:ascii="Palatino Linotype" w:hAnsi="Palatino Linotype" w:cs="Arial"/>
          <w:sz w:val="24"/>
          <w:szCs w:val="24"/>
        </w:rPr>
        <w:t>, pues como autoridad, el ordenar "dar vista" de los nuevos elementos aportados, era suficiente para estimar que podía ejercer sus derechos y así están en oportunidad se ser escuchado.</w:t>
      </w:r>
    </w:p>
    <w:p w:rsidR="000A7BF7" w:rsidRDefault="000A7BF7" w:rsidP="000A7BF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Para robustecer lo anterior, es de precisar que el cierre de instrucción del recurso de revisión que se opina se decretó e</w:t>
      </w:r>
      <w:r w:rsidR="001B15D3">
        <w:rPr>
          <w:rFonts w:ascii="Palatino Linotype" w:hAnsi="Palatino Linotype" w:cs="Arial"/>
          <w:sz w:val="24"/>
          <w:szCs w:val="24"/>
        </w:rPr>
        <w:t>l nueve de agosto</w:t>
      </w:r>
      <w:r>
        <w:rPr>
          <w:rFonts w:ascii="Palatino Linotype" w:hAnsi="Palatino Linotype" w:cs="Arial"/>
          <w:sz w:val="24"/>
          <w:szCs w:val="24"/>
        </w:rPr>
        <w:t xml:space="preserve"> del año dos mil dieciocho</w:t>
      </w:r>
      <w:r w:rsidR="001B15D3">
        <w:rPr>
          <w:rFonts w:ascii="Palatino Linotype" w:hAnsi="Palatino Linotype" w:cs="Arial"/>
          <w:sz w:val="24"/>
          <w:szCs w:val="24"/>
        </w:rPr>
        <w:t xml:space="preserve"> y la</w:t>
      </w:r>
      <w:r>
        <w:rPr>
          <w:rFonts w:ascii="Palatino Linotype" w:hAnsi="Palatino Linotype" w:cs="Arial"/>
          <w:sz w:val="24"/>
          <w:szCs w:val="24"/>
        </w:rPr>
        <w:t xml:space="preserve"> </w:t>
      </w:r>
      <w:r w:rsidR="001B15D3">
        <w:rPr>
          <w:rFonts w:ascii="Palatino Linotype" w:hAnsi="Palatino Linotype" w:cs="Arial"/>
          <w:sz w:val="24"/>
          <w:szCs w:val="24"/>
        </w:rPr>
        <w:t>información en alcance que envió por correo electrónico</w:t>
      </w:r>
      <w:r>
        <w:rPr>
          <w:rFonts w:ascii="Palatino Linotype" w:hAnsi="Palatino Linotype" w:cs="Arial"/>
          <w:sz w:val="24"/>
          <w:szCs w:val="24"/>
        </w:rPr>
        <w:t xml:space="preserve"> el Sujeto Obl</w:t>
      </w:r>
      <w:r w:rsidR="001B15D3">
        <w:rPr>
          <w:rFonts w:ascii="Palatino Linotype" w:hAnsi="Palatino Linotype" w:cs="Arial"/>
          <w:sz w:val="24"/>
          <w:szCs w:val="24"/>
        </w:rPr>
        <w:t>igado fue el quince de agosto</w:t>
      </w:r>
      <w:r>
        <w:rPr>
          <w:rFonts w:ascii="Palatino Linotype" w:hAnsi="Palatino Linotype" w:cs="Arial"/>
          <w:sz w:val="24"/>
          <w:szCs w:val="24"/>
        </w:rPr>
        <w:t xml:space="preserve"> del año en curso; esto es, después de haber substanciado el recurso de revisión pero antes de dictar la resolución correspondiente; sin que el recurre</w:t>
      </w:r>
      <w:r w:rsidR="001B15D3">
        <w:rPr>
          <w:rFonts w:ascii="Palatino Linotype" w:hAnsi="Palatino Linotype" w:cs="Arial"/>
          <w:sz w:val="24"/>
          <w:szCs w:val="24"/>
        </w:rPr>
        <w:t>nte supiera de la existencia de dicha información</w:t>
      </w:r>
      <w:r>
        <w:rPr>
          <w:rFonts w:ascii="Palatino Linotype" w:hAnsi="Palatino Linotype" w:cs="Arial"/>
          <w:sz w:val="24"/>
          <w:szCs w:val="24"/>
        </w:rPr>
        <w:t xml:space="preserve"> por medio del cual el Sujeto Obligado </w:t>
      </w:r>
      <w:r w:rsidR="001B15D3">
        <w:rPr>
          <w:rFonts w:ascii="Palatino Linotype" w:hAnsi="Palatino Linotype" w:cs="Arial"/>
          <w:sz w:val="24"/>
          <w:szCs w:val="24"/>
        </w:rPr>
        <w:t>módico su</w:t>
      </w:r>
      <w:r>
        <w:rPr>
          <w:rFonts w:ascii="Palatino Linotype" w:hAnsi="Palatino Linotype" w:cs="Arial"/>
          <w:sz w:val="24"/>
          <w:szCs w:val="24"/>
        </w:rPr>
        <w:t xml:space="preserve"> respuesta </w:t>
      </w:r>
      <w:r w:rsidR="001B15D3">
        <w:rPr>
          <w:rFonts w:ascii="Palatino Linotype" w:hAnsi="Palatino Linotype" w:cs="Arial"/>
          <w:sz w:val="24"/>
          <w:szCs w:val="24"/>
        </w:rPr>
        <w:t>original</w:t>
      </w:r>
      <w:r w:rsidR="00EB0884">
        <w:rPr>
          <w:rFonts w:ascii="Palatino Linotype" w:hAnsi="Palatino Linotype" w:cs="Arial"/>
          <w:sz w:val="24"/>
          <w:szCs w:val="24"/>
        </w:rPr>
        <w:t>; razón</w:t>
      </w:r>
      <w:r>
        <w:rPr>
          <w:rFonts w:ascii="Palatino Linotype" w:hAnsi="Palatino Linotype" w:cs="Arial"/>
          <w:sz w:val="24"/>
          <w:szCs w:val="24"/>
        </w:rPr>
        <w:t xml:space="preserve"> por la cual se debió poner a la vista de recurrente ya que el artículo 131 del Código de Procedimientos Administrativos del Estado de México de aplicación supletoria a la Ley de la Materia, señala:</w:t>
      </w:r>
    </w:p>
    <w:p w:rsidR="000A7BF7" w:rsidRDefault="000A7BF7" w:rsidP="000A7BF7">
      <w:pPr>
        <w:spacing w:before="240" w:after="240" w:line="240" w:lineRule="auto"/>
        <w:ind w:left="567" w:right="474"/>
        <w:contextualSpacing/>
        <w:jc w:val="both"/>
        <w:rPr>
          <w:rFonts w:ascii="Palatino Linotype" w:hAnsi="Palatino Linotype" w:cs="Arial"/>
          <w:i/>
        </w:rPr>
      </w:pPr>
    </w:p>
    <w:p w:rsidR="000A7BF7" w:rsidRPr="00930582" w:rsidRDefault="000A7BF7" w:rsidP="000A7BF7">
      <w:pPr>
        <w:spacing w:before="240" w:after="240" w:line="240" w:lineRule="auto"/>
        <w:ind w:left="567" w:right="474"/>
        <w:contextualSpacing/>
        <w:jc w:val="both"/>
        <w:rPr>
          <w:rFonts w:ascii="Palatino Linotype" w:hAnsi="Palatino Linotype" w:cs="Arial"/>
          <w:i/>
        </w:rPr>
      </w:pPr>
      <w:r>
        <w:rPr>
          <w:rFonts w:ascii="Palatino Linotype" w:hAnsi="Palatino Linotype" w:cs="Arial"/>
          <w:i/>
        </w:rPr>
        <w:t>“</w:t>
      </w:r>
      <w:r w:rsidRPr="00930582">
        <w:rPr>
          <w:rFonts w:ascii="Palatino Linotype" w:hAnsi="Palatino Linotype" w:cs="Arial"/>
          <w:i/>
        </w:rPr>
        <w:t xml:space="preserve">Artículo 131.- </w:t>
      </w:r>
      <w:r w:rsidRPr="00A567A6">
        <w:rPr>
          <w:rFonts w:ascii="Palatino Linotype" w:hAnsi="Palatino Linotype" w:cs="Arial"/>
          <w:i/>
        </w:rPr>
        <w:t>Concluida la tramitación del procedimiento</w:t>
      </w:r>
      <w:r w:rsidRPr="00930582">
        <w:rPr>
          <w:rFonts w:ascii="Palatino Linotype" w:hAnsi="Palatino Linotype" w:cs="Arial"/>
          <w:i/>
        </w:rPr>
        <w:t>, cuando existan documentos u otras pruebas que no sean del conocimiento de los particulares interesados, se pondrán las actuaciones a disposición de éstos por un plazo de tres días siguientes a la notificación del acuerdo respectivo, para que formulen, en su caso, los alegatos que consideren pertinentes.</w:t>
      </w:r>
      <w:r>
        <w:rPr>
          <w:rFonts w:ascii="Palatino Linotype" w:hAnsi="Palatino Linotype" w:cs="Arial"/>
          <w:i/>
        </w:rPr>
        <w:t>”(Sic)</w:t>
      </w:r>
    </w:p>
    <w:p w:rsidR="000A7BF7" w:rsidRDefault="000A7BF7" w:rsidP="000A7BF7">
      <w:pPr>
        <w:spacing w:before="240" w:after="240" w:line="360" w:lineRule="auto"/>
        <w:jc w:val="both"/>
        <w:rPr>
          <w:rFonts w:ascii="Palatino Linotype" w:hAnsi="Palatino Linotype" w:cs="Arial"/>
          <w:sz w:val="24"/>
          <w:szCs w:val="24"/>
        </w:rPr>
      </w:pPr>
    </w:p>
    <w:p w:rsidR="000A7BF7" w:rsidRDefault="001B15D3" w:rsidP="000A7BF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En tal sentido</w:t>
      </w:r>
      <w:r w:rsidR="00441FCA">
        <w:rPr>
          <w:rFonts w:ascii="Palatino Linotype" w:hAnsi="Palatino Linotype" w:cs="Arial"/>
          <w:sz w:val="24"/>
          <w:szCs w:val="24"/>
        </w:rPr>
        <w:t>,</w:t>
      </w:r>
      <w:r>
        <w:rPr>
          <w:rFonts w:ascii="Palatino Linotype" w:hAnsi="Palatino Linotype" w:cs="Arial"/>
          <w:sz w:val="24"/>
          <w:szCs w:val="24"/>
        </w:rPr>
        <w:t xml:space="preserve"> </w:t>
      </w:r>
      <w:r w:rsidR="000A7BF7">
        <w:rPr>
          <w:rFonts w:ascii="Palatino Linotype" w:hAnsi="Palatino Linotype" w:cs="Arial"/>
          <w:sz w:val="24"/>
          <w:szCs w:val="24"/>
        </w:rPr>
        <w:t>la ponencia resolutora lo debió poner a la vista del recurrente para que se manifestara conforme a su derecho y no se dejara en estado de indefensión</w:t>
      </w:r>
      <w:r w:rsidR="00EB0884">
        <w:rPr>
          <w:rFonts w:ascii="Palatino Linotype" w:hAnsi="Palatino Linotype" w:cs="Arial"/>
          <w:sz w:val="24"/>
          <w:szCs w:val="24"/>
        </w:rPr>
        <w:t xml:space="preserve"> al ciudadano</w:t>
      </w:r>
      <w:r w:rsidR="000A7BF7">
        <w:rPr>
          <w:rFonts w:ascii="Palatino Linotype" w:hAnsi="Palatino Linotype" w:cs="Arial"/>
          <w:sz w:val="24"/>
          <w:szCs w:val="24"/>
        </w:rPr>
        <w:t xml:space="preserve">, y así emitir un resolución conforme a derecho; máxime que </w:t>
      </w:r>
      <w:r w:rsidR="000A7BF7" w:rsidRPr="00DC23D7">
        <w:rPr>
          <w:rFonts w:ascii="Palatino Linotype" w:hAnsi="Palatino Linotype" w:cs="Arial"/>
          <w:sz w:val="24"/>
          <w:szCs w:val="24"/>
        </w:rPr>
        <w:t>este Instituto de Transparencia, es el Órgano público estatal constitucionalmente autónomo, especializado, independiente, imparcial y colegiado, responsable de garantizar tanto el derecho de acceso a la información pública y la protección de datos personales en po</w:t>
      </w:r>
      <w:r w:rsidR="000A7BF7">
        <w:rPr>
          <w:rFonts w:ascii="Palatino Linotype" w:hAnsi="Palatino Linotype" w:cs="Arial"/>
          <w:sz w:val="24"/>
          <w:szCs w:val="24"/>
        </w:rPr>
        <w:t xml:space="preserve">sesión de los sujetos obligados; lo cual, lo faculta para establecer la determinaciones necesarias tendientes a satisfacer el Derecho de Acceso a la Información de los gobernados en observancia de los principios de </w:t>
      </w:r>
      <w:r w:rsidR="000A7BF7" w:rsidRPr="00984CF6">
        <w:rPr>
          <w:rFonts w:ascii="Palatino Linotype" w:hAnsi="Palatino Linotype" w:cs="Arial"/>
          <w:sz w:val="24"/>
          <w:szCs w:val="24"/>
        </w:rPr>
        <w:t>publicidad, certeza, eficacia, legalidad, objetividad, profesionalismo, simplicidad, rapidez y transparencia</w:t>
      </w:r>
      <w:r w:rsidR="000A7BF7">
        <w:rPr>
          <w:rFonts w:ascii="Palatino Linotype" w:hAnsi="Palatino Linotype" w:cs="Arial"/>
          <w:sz w:val="24"/>
          <w:szCs w:val="24"/>
        </w:rPr>
        <w:t xml:space="preserve"> ya mencionados; como así se lo permite </w:t>
      </w:r>
      <w:r w:rsidR="000A7BF7" w:rsidRPr="00875530">
        <w:rPr>
          <w:rFonts w:ascii="Palatino Linotype" w:hAnsi="Palatino Linotype" w:cs="Arial"/>
          <w:sz w:val="24"/>
          <w:szCs w:val="24"/>
        </w:rPr>
        <w:t>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w:t>
      </w:r>
      <w:r w:rsidR="000A7BF7" w:rsidRPr="00FA42AA">
        <w:rPr>
          <w:rFonts w:ascii="Palatino Linotype" w:hAnsi="Palatino Linotype" w:cs="Arial"/>
          <w:sz w:val="24"/>
          <w:szCs w:val="24"/>
        </w:rPr>
        <w:t xml:space="preserve"> gratuitos</w:t>
      </w:r>
    </w:p>
    <w:p w:rsidR="00EB0884" w:rsidRDefault="00EB0884" w:rsidP="000A7BF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es importante mencionar que la ponencia resolutora le dio importancia información remita en alcance por el Sujeto Obligado, ya que este determinó </w:t>
      </w:r>
      <w:r>
        <w:rPr>
          <w:rFonts w:ascii="Palatino Linotype" w:eastAsia="Times New Roman" w:hAnsi="Palatino Linotype" w:cs="Times New Roman"/>
          <w:sz w:val="24"/>
          <w:szCs w:val="24"/>
          <w:lang w:val="es-ES_tradnl" w:eastAsia="es-ES"/>
        </w:rPr>
        <w:t xml:space="preserve">concluir que el Sujeto Obligado asume generar, poseer y administrar la información solicitada; por medio del cual colmó el Derecho de Acceso a la Información Pública del recurrente y determinó </w:t>
      </w:r>
      <w:r>
        <w:rPr>
          <w:rFonts w:ascii="Palatino Linotype" w:hAnsi="Palatino Linotype" w:cs="Arial"/>
          <w:sz w:val="24"/>
          <w:szCs w:val="24"/>
        </w:rPr>
        <w:t>sobreseer el recurso de revisión sometido a su estudio.</w:t>
      </w:r>
    </w:p>
    <w:p w:rsidR="000A7BF7" w:rsidRDefault="00EB0884" w:rsidP="000A7BF7">
      <w:pPr>
        <w:spacing w:before="240" w:after="240" w:line="360" w:lineRule="auto"/>
        <w:jc w:val="both"/>
        <w:rPr>
          <w:rFonts w:ascii="Palatino Linotype" w:eastAsia="Times New Roman" w:hAnsi="Palatino Linotype" w:cs="Times New Roman"/>
          <w:sz w:val="24"/>
          <w:szCs w:val="24"/>
          <w:lang w:val="es-ES_tradnl" w:eastAsia="es-ES"/>
        </w:rPr>
      </w:pPr>
      <w:r>
        <w:rPr>
          <w:rFonts w:ascii="Palatino Linotype" w:hAnsi="Palatino Linotype"/>
          <w:sz w:val="24"/>
          <w:szCs w:val="24"/>
        </w:rPr>
        <w:lastRenderedPageBreak/>
        <w:t>Finalmente</w:t>
      </w:r>
      <w:r w:rsidR="00441FCA">
        <w:rPr>
          <w:rFonts w:ascii="Palatino Linotype" w:hAnsi="Palatino Linotype"/>
          <w:sz w:val="24"/>
          <w:szCs w:val="24"/>
        </w:rPr>
        <w:t>,</w:t>
      </w:r>
      <w:r w:rsidR="000A7BF7">
        <w:rPr>
          <w:rFonts w:ascii="Palatino Linotype" w:hAnsi="Palatino Linotype"/>
          <w:sz w:val="24"/>
          <w:szCs w:val="24"/>
        </w:rPr>
        <w:t xml:space="preserve"> es importante mencionar que a los Sujetos Obligados no se les debe subsanar sus errores u omisiones por parte de este órgano garante; en virtud de la cual no se puede suplir la deficiencia de la queja a</w:t>
      </w:r>
      <w:r w:rsidR="00F119F7">
        <w:rPr>
          <w:rFonts w:ascii="Palatino Linotype" w:hAnsi="Palatino Linotype"/>
          <w:sz w:val="24"/>
          <w:szCs w:val="24"/>
        </w:rPr>
        <w:t xml:space="preserve"> favor de los Sujetos Obligados. Para todo lo anterior sirve de sustento lo establecido en</w:t>
      </w:r>
      <w:r w:rsidR="000A7BF7">
        <w:rPr>
          <w:rFonts w:ascii="Palatino Linotype" w:hAnsi="Palatino Linotype"/>
          <w:sz w:val="24"/>
          <w:szCs w:val="24"/>
        </w:rPr>
        <w:t xml:space="preserve"> el criterio </w:t>
      </w:r>
      <w:r w:rsidR="000A7BF7">
        <w:rPr>
          <w:rFonts w:ascii="Palatino Linotype" w:eastAsia="Times New Roman" w:hAnsi="Palatino Linotype" w:cs="Times New Roman"/>
          <w:sz w:val="24"/>
          <w:szCs w:val="24"/>
          <w:lang w:val="es-ES_tradnl" w:eastAsia="es-ES"/>
        </w:rPr>
        <w:t>emitido por la Suprema</w:t>
      </w:r>
      <w:r w:rsidR="00F119F7">
        <w:rPr>
          <w:rFonts w:ascii="Palatino Linotype" w:eastAsia="Times New Roman" w:hAnsi="Palatino Linotype" w:cs="Times New Roman"/>
          <w:sz w:val="24"/>
          <w:szCs w:val="24"/>
          <w:lang w:val="es-ES_tradnl" w:eastAsia="es-ES"/>
        </w:rPr>
        <w:t xml:space="preserve"> Corte de Justicia de la Nación, siguiente:</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Fuente: Gaceta del Semanario Judicial de la Federación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Libro 17, Abril de 2015, Tomo II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Materia(s): Común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Tesis: II.2o.P.14 K (10a.)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Página: 1703 </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CONSTANCIAS REMITIDAS CON EL INFORME JUSTIFICADO. NO PUEDE NEGARSE AL QUEJOSO IMPONERSE DE ÉSTAS, AUN CUANDO EL MINISTERIO PÚBLICO (AUTORIDAD RESPONSABLE) LAS HAYA ESTIMADO COMO RESERVADAS, SI PUEDE ELABORAR UNA VERSIÓN DE AQUÉLLAS PARA PONERSE A LA VISTA DE LAS PARTES, Y SIN VIOLAR EL SIGILO Y CONFIDENCIALIDAD DE LA AVERIGUACIÓN PREVIA -DE DONDE DERIVÓ EL ACTO RECLAMADO-, DE LO CONTRARIO, SE ACTUALIZA UNA VIOLACIÓN A LAS REGLAS ESENCIALES DEL PROCEDIMIENTO QUE AMERITA SU REPOSICIÓN.</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Si el juicio de amparo indirecto es un procedimiento de impugnación autónomo donde se reclaman actos de autoridad, es claro que en él, éstos están sometidos al análisis de su constitucionalidad en equilibrio y contradicción al derecho de los quejosos para debatir este aspecto en cuanto a lo que a éstos perjudique. Por tanto, la autoridad responsable no puede condicionar el cumplimiento de sus obligaciones, derivadas del propio juicio constitucional, ni la actuación de la autoridad de amparo, para complementar o compensar sus actos. Ahora bien, tratándose de las constancias que son remitidas por el Ministerio Público (autoridad responsable) junto con su informe justificado, en asuntos relacionados con la secrecía o sigilo de la averiguación previa, es responsabilidad de ésta -y no de los Jueces de amparo- buscar los métodos que le permitan enviarlas sin violar los derechos de quienes acceden al juicio constitucional en contra de lo que individualmente les afecta; por ende, en estos casos, la integración de las constancias debiera hacerse de </w:t>
      </w:r>
      <w:r w:rsidRPr="009514EE">
        <w:rPr>
          <w:rFonts w:ascii="Palatino Linotype" w:eastAsia="Times New Roman" w:hAnsi="Palatino Linotype" w:cs="Times New Roman"/>
          <w:i/>
          <w:lang w:val="es-ES_tradnl" w:eastAsia="es-ES"/>
        </w:rPr>
        <w:lastRenderedPageBreak/>
        <w:t>forma tal que, cumpliendo con la ley, se tenga contemplado que las actuaciones remitidas al juicio de amparo, no pueden estar ya sujetas al criterio de sigilo de la autoridad responsable, pues si obran en el juicio de amparo no deben ser ajenas ni ocultarse al quejoso; de ahí que, si el Ministerio Público estima que ciertas actuaciones de la averiguación previa -de donde derivó el acto reclamado- son consideradas como reservadas, para no violentar el secreto y confidencialidad que en aquéllas ha de imperar, debe adjuntar a su informe una versión que pueda ser consultable, y así el Juez de Distrito, estar en posibilidad de ponerlas a la vista de las partes, pues si bien no se trata de que a través del amparo se tenga acercamiento a cuestiones ajenas al quejoso, lo cierto es que no puede negársele el acceso a las constancias remitidas como justificación del acto reclamado, ya que sólo así se respetan su derecho y la posibilidad plena de probar tanto la existencia como la inconstitucionalidad de dicho acto; de lo contrario, se actualiza una violación a las reglas esenciales del procedimiento que amerita su reposición, en términos del artículo 93, fracción IV, de la Ley de Amparo.</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SEGUNDO TRIBUNAL COLEGIADO EN MATERIA PENAL DEL SEGUNDO CIRCUITO.</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Amparo en revisión 142/2014. 6 de noviembre de 2014. Unanimidad de votos. Ponente: José Nieves Luna Castro. Secretario: Silvestre P. </w:t>
      </w:r>
      <w:proofErr w:type="spellStart"/>
      <w:r w:rsidRPr="009514EE">
        <w:rPr>
          <w:rFonts w:ascii="Palatino Linotype" w:eastAsia="Times New Roman" w:hAnsi="Palatino Linotype" w:cs="Times New Roman"/>
          <w:i/>
          <w:lang w:val="es-ES_tradnl" w:eastAsia="es-ES"/>
        </w:rPr>
        <w:t>Jardón</w:t>
      </w:r>
      <w:proofErr w:type="spellEnd"/>
      <w:r w:rsidRPr="009514EE">
        <w:rPr>
          <w:rFonts w:ascii="Palatino Linotype" w:eastAsia="Times New Roman" w:hAnsi="Palatino Linotype" w:cs="Times New Roman"/>
          <w:i/>
          <w:lang w:val="es-ES_tradnl" w:eastAsia="es-ES"/>
        </w:rPr>
        <w:t xml:space="preserve"> Orihuela.</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 xml:space="preserve">Nota: La presente tesis aborda el mismo tema que la diversa I.1o.A.E.1 K (10a.), de título y subtítulo: "INFORMACIÓN RESERVADA. CUANDO DE LAS CONSTANCIAS QUE SE ACOMPAÑEN AL INFORME JUSTIFICADO EN EL JUICIO DE AMPARO INDIRECTO SE OBSERVE QUE LA REMITIDA CON ESA CLASIFICACIÓN COMPRENDE LOS ACTOS RECLAMADOS QUE DESCONOCE EL QUEJOSO, DEBE PERMITÍRSELE EL ACCESO A LA QUE SEA NECESARIA, A FIN DE QUE PUEDA HACER VALER LO QUE A SU DERECHO E INTERÉS CONVENGAN.", publicada en el Semanario Judicial de la Federación del viernes 25 de abril de 2014 a las 9:32 horas y en la Gaceta del Semanario Judicial de la Federación, Décima Época, Libro 5, Tomo II, abril de 2014, página 1525, que fue objeto de la denuncia relativa a la contradicción de tesis 121/2014, resuelta el 26 de mayo de 2015 por el Pleno de la Suprema Corte de Justicia de la Nación de la que derivó la tesis de jurisprudencia P./J. 26/2015 (10a.), de título y subtítulo: "INFORMACIÓN CLASIFICADA COMO RESERVADA O CONFIDENCIAL EXHIBIDA CON EL INFORME JUSTIFICADO. EL JUEZ CONSTITUCIONAL, BAJO SU MÁS </w:t>
      </w:r>
      <w:r w:rsidRPr="009514EE">
        <w:rPr>
          <w:rFonts w:ascii="Palatino Linotype" w:eastAsia="Times New Roman" w:hAnsi="Palatino Linotype" w:cs="Times New Roman"/>
          <w:i/>
          <w:lang w:val="es-ES_tradnl" w:eastAsia="es-ES"/>
        </w:rPr>
        <w:lastRenderedPageBreak/>
        <w:t>ESTRICTA RESPONSABILIDAD, PUEDE PERMITIR EL ACCESO A LAS PARTES A LA QUE CONSIDERE ESENCIAL PARA SU DEFENSA."</w:t>
      </w: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9514EE" w:rsidRPr="009514EE" w:rsidRDefault="009514EE" w:rsidP="009514EE">
      <w:pPr>
        <w:spacing w:before="240" w:after="240" w:line="240" w:lineRule="auto"/>
        <w:ind w:left="426" w:right="616"/>
        <w:contextualSpacing/>
        <w:jc w:val="both"/>
        <w:rPr>
          <w:rFonts w:ascii="Palatino Linotype" w:eastAsia="Times New Roman" w:hAnsi="Palatino Linotype" w:cs="Times New Roman"/>
          <w:i/>
          <w:lang w:val="es-ES_tradnl" w:eastAsia="es-ES"/>
        </w:rPr>
      </w:pPr>
      <w:r w:rsidRPr="009514EE">
        <w:rPr>
          <w:rFonts w:ascii="Palatino Linotype" w:eastAsia="Times New Roman" w:hAnsi="Palatino Linotype" w:cs="Times New Roman"/>
          <w:i/>
          <w:lang w:val="es-ES_tradnl" w:eastAsia="es-ES"/>
        </w:rPr>
        <w:t>Esta tesis se publicó el viernes 10 de abril de 2015 a las 09:30 horas en el Semanario Judicial de la Federación.</w:t>
      </w:r>
    </w:p>
    <w:p w:rsidR="009514EE" w:rsidRPr="00DE6C84" w:rsidRDefault="009514EE" w:rsidP="00DE6C84">
      <w:pPr>
        <w:spacing w:before="240" w:after="240" w:line="240" w:lineRule="auto"/>
        <w:ind w:left="426" w:right="616"/>
        <w:contextualSpacing/>
        <w:jc w:val="both"/>
        <w:rPr>
          <w:rFonts w:ascii="Palatino Linotype" w:eastAsia="Times New Roman" w:hAnsi="Palatino Linotype" w:cs="Times New Roman"/>
          <w:i/>
          <w:lang w:val="es-ES_tradnl" w:eastAsia="es-ES"/>
        </w:rPr>
      </w:pPr>
    </w:p>
    <w:p w:rsidR="000A7BF7" w:rsidRPr="005C505A" w:rsidRDefault="000A7BF7" w:rsidP="000A7BF7">
      <w:pPr>
        <w:spacing w:before="240" w:after="0" w:line="360" w:lineRule="auto"/>
        <w:jc w:val="both"/>
        <w:rPr>
          <w:rFonts w:ascii="Palatino Linotype" w:hAnsi="Palatino Linotype" w:cs="Arial"/>
          <w:sz w:val="24"/>
          <w:szCs w:val="24"/>
        </w:rPr>
      </w:pPr>
      <w:r w:rsidRPr="005C505A">
        <w:rPr>
          <w:rFonts w:ascii="Palatino Linotype" w:hAnsi="Palatino Linotype" w:cs="Arial"/>
          <w:sz w:val="24"/>
          <w:szCs w:val="24"/>
        </w:rPr>
        <w:t>Por to</w:t>
      </w:r>
      <w:r>
        <w:rPr>
          <w:rFonts w:ascii="Palatino Linotype" w:hAnsi="Palatino Linotype" w:cs="Arial"/>
          <w:sz w:val="24"/>
          <w:szCs w:val="24"/>
        </w:rPr>
        <w:t>do lo expuesto es que formulo el presente voto</w:t>
      </w:r>
      <w:r w:rsidRPr="005C505A">
        <w:rPr>
          <w:rFonts w:ascii="Palatino Linotype" w:hAnsi="Palatino Linotype" w:cs="Arial"/>
          <w:sz w:val="24"/>
          <w:szCs w:val="24"/>
        </w:rPr>
        <w:t xml:space="preserve"> particular, en los términos precisados, cons</w:t>
      </w:r>
      <w:r>
        <w:rPr>
          <w:rFonts w:ascii="Palatino Linotype" w:hAnsi="Palatino Linotype" w:cs="Arial"/>
          <w:sz w:val="24"/>
          <w:szCs w:val="24"/>
        </w:rPr>
        <w:t>iderando que las reflexiones</w:t>
      </w:r>
      <w:r w:rsidRPr="005C505A">
        <w:rPr>
          <w:rFonts w:ascii="Palatino Linotype" w:hAnsi="Palatino Linotype" w:cs="Arial"/>
          <w:sz w:val="24"/>
          <w:szCs w:val="24"/>
        </w:rPr>
        <w:t xml:space="preserve"> aquí expuestas hubieran resultado importantes para </w:t>
      </w:r>
      <w:r>
        <w:rPr>
          <w:rFonts w:ascii="Palatino Linotype" w:hAnsi="Palatino Linotype" w:cs="Arial"/>
          <w:sz w:val="24"/>
          <w:szCs w:val="24"/>
        </w:rPr>
        <w:t>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A7BF7" w:rsidTr="005857E0">
        <w:trPr>
          <w:trHeight w:val="809"/>
          <w:jc w:val="center"/>
        </w:trPr>
        <w:tc>
          <w:tcPr>
            <w:tcW w:w="4396" w:type="dxa"/>
          </w:tcPr>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p>
          <w:p w:rsidR="000A7BF7" w:rsidRDefault="000A7BF7" w:rsidP="005857E0">
            <w:pPr>
              <w:jc w:val="center"/>
              <w:rPr>
                <w:rFonts w:ascii="Palatino Linotype" w:hAnsi="Palatino Linotype"/>
                <w:b/>
                <w:sz w:val="24"/>
                <w:szCs w:val="24"/>
              </w:rPr>
            </w:pPr>
            <w:r>
              <w:rPr>
                <w:rFonts w:ascii="Palatino Linotype" w:hAnsi="Palatino Linotype"/>
                <w:b/>
                <w:sz w:val="24"/>
                <w:szCs w:val="24"/>
              </w:rPr>
              <w:t>Javier Martínez Cruz</w:t>
            </w:r>
          </w:p>
        </w:tc>
      </w:tr>
      <w:tr w:rsidR="000A7BF7" w:rsidTr="005857E0">
        <w:trPr>
          <w:trHeight w:val="319"/>
          <w:jc w:val="center"/>
        </w:trPr>
        <w:tc>
          <w:tcPr>
            <w:tcW w:w="4396" w:type="dxa"/>
          </w:tcPr>
          <w:p w:rsidR="000A7BF7" w:rsidRDefault="000A7BF7" w:rsidP="005857E0">
            <w:pPr>
              <w:jc w:val="center"/>
              <w:rPr>
                <w:rFonts w:ascii="Palatino Linotype" w:hAnsi="Palatino Linotype"/>
                <w:b/>
                <w:sz w:val="24"/>
                <w:szCs w:val="24"/>
              </w:rPr>
            </w:pPr>
            <w:r>
              <w:rPr>
                <w:rFonts w:ascii="Palatino Linotype" w:hAnsi="Palatino Linotype"/>
                <w:b/>
                <w:sz w:val="24"/>
                <w:szCs w:val="24"/>
              </w:rPr>
              <w:t>Comisionado</w:t>
            </w:r>
          </w:p>
          <w:p w:rsidR="000A7BF7" w:rsidRDefault="00C86502" w:rsidP="005857E0">
            <w:pPr>
              <w:jc w:val="center"/>
              <w:rPr>
                <w:rFonts w:ascii="Palatino Linotype" w:hAnsi="Palatino Linotype"/>
                <w:b/>
                <w:sz w:val="24"/>
                <w:szCs w:val="24"/>
              </w:rPr>
            </w:pPr>
            <w:r>
              <w:rPr>
                <w:rFonts w:ascii="Palatino Linotype" w:hAnsi="Palatino Linotype"/>
                <w:b/>
                <w:sz w:val="24"/>
                <w:szCs w:val="24"/>
              </w:rPr>
              <w:t>(Rúbrica)</w:t>
            </w:r>
          </w:p>
        </w:tc>
      </w:tr>
    </w:tbl>
    <w:p w:rsidR="000A7BF7" w:rsidRDefault="000A7BF7" w:rsidP="000A7BF7"/>
    <w:p w:rsidR="000A7BF7" w:rsidRPr="00875530" w:rsidRDefault="000A7BF7" w:rsidP="000A7BF7">
      <w:pPr>
        <w:rPr>
          <w:sz w:val="24"/>
          <w:szCs w:val="24"/>
        </w:rPr>
      </w:pPr>
    </w:p>
    <w:p w:rsidR="00E9188C" w:rsidRDefault="00E9188C"/>
    <w:sectPr w:rsidR="00E9188C" w:rsidSect="005857E0">
      <w:headerReference w:type="even" r:id="rId7"/>
      <w:headerReference w:type="default" r:id="rId8"/>
      <w:footerReference w:type="default" r:id="rId9"/>
      <w:headerReference w:type="first" r:id="rId10"/>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8DC" w:rsidRDefault="00B148DC" w:rsidP="00CF3264">
      <w:pPr>
        <w:spacing w:after="0" w:line="240" w:lineRule="auto"/>
      </w:pPr>
      <w:r>
        <w:separator/>
      </w:r>
    </w:p>
  </w:endnote>
  <w:endnote w:type="continuationSeparator" w:id="0">
    <w:p w:rsidR="00B148DC" w:rsidRDefault="00B148DC" w:rsidP="00CF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544550"/>
      <w:docPartObj>
        <w:docPartGallery w:val="Page Numbers (Bottom of Page)"/>
        <w:docPartUnique/>
      </w:docPartObj>
    </w:sdtPr>
    <w:sdtEndPr/>
    <w:sdtContent>
      <w:p w:rsidR="005857E0" w:rsidRDefault="005857E0">
        <w:pPr>
          <w:pStyle w:val="Piedepgina"/>
          <w:jc w:val="right"/>
        </w:pPr>
        <w:r>
          <w:fldChar w:fldCharType="begin"/>
        </w:r>
        <w:r>
          <w:instrText>PAGE   \* MERGEFORMAT</w:instrText>
        </w:r>
        <w:r>
          <w:fldChar w:fldCharType="separate"/>
        </w:r>
        <w:r w:rsidR="0068576D" w:rsidRPr="0068576D">
          <w:rPr>
            <w:noProof/>
            <w:lang w:val="es-ES"/>
          </w:rPr>
          <w:t>10</w:t>
        </w:r>
        <w:r>
          <w:fldChar w:fldCharType="end"/>
        </w:r>
      </w:p>
    </w:sdtContent>
  </w:sdt>
  <w:p w:rsidR="005857E0" w:rsidRDefault="005857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8DC" w:rsidRDefault="00B148DC" w:rsidP="00CF3264">
      <w:pPr>
        <w:spacing w:after="0" w:line="240" w:lineRule="auto"/>
      </w:pPr>
      <w:r>
        <w:separator/>
      </w:r>
    </w:p>
  </w:footnote>
  <w:footnote w:type="continuationSeparator" w:id="0">
    <w:p w:rsidR="00B148DC" w:rsidRDefault="00B148DC" w:rsidP="00CF3264">
      <w:pPr>
        <w:spacing w:after="0" w:line="240" w:lineRule="auto"/>
      </w:pPr>
      <w:r>
        <w:continuationSeparator/>
      </w:r>
    </w:p>
  </w:footnote>
  <w:footnote w:id="1">
    <w:p w:rsidR="005857E0" w:rsidRPr="0055120A" w:rsidRDefault="005857E0" w:rsidP="0055120A">
      <w:pPr>
        <w:spacing w:before="240" w:after="240" w:line="240" w:lineRule="auto"/>
        <w:contextualSpacing/>
        <w:jc w:val="both"/>
        <w:rPr>
          <w:rFonts w:ascii="Palatino Linotype" w:hAnsi="Palatino Linotype" w:cs="Arial"/>
          <w:sz w:val="16"/>
          <w:szCs w:val="16"/>
        </w:rPr>
      </w:pPr>
      <w:r w:rsidRPr="0055120A">
        <w:rPr>
          <w:rFonts w:ascii="Palatino Linotype" w:hAnsi="Palatino Linotype" w:cs="Arial"/>
          <w:sz w:val="16"/>
          <w:szCs w:val="16"/>
        </w:rPr>
        <w:footnoteRef/>
      </w:r>
      <w:r w:rsidRPr="0055120A">
        <w:rPr>
          <w:rFonts w:ascii="Palatino Linotype" w:hAnsi="Palatino Linotype" w:cs="Arial"/>
          <w:sz w:val="16"/>
          <w:szCs w:val="16"/>
        </w:rPr>
        <w:t xml:space="preserve"> </w:t>
      </w:r>
      <w:r>
        <w:rPr>
          <w:rFonts w:ascii="Palatino Linotype" w:hAnsi="Palatino Linotype" w:cs="Arial"/>
          <w:sz w:val="16"/>
          <w:szCs w:val="16"/>
        </w:rPr>
        <w:t>El principio de seguridad ju</w:t>
      </w:r>
      <w:r w:rsidRPr="0055120A">
        <w:rPr>
          <w:rFonts w:ascii="Palatino Linotype" w:hAnsi="Palatino Linotype" w:cs="Arial"/>
          <w:sz w:val="16"/>
          <w:szCs w:val="16"/>
        </w:rPr>
        <w:t>rídica, en consecuencia, debe entenderse como la confianza que los ciudadanos pueden tener en la observancia y respeto de las situaciones derivadas de la aplicación de normas válidas y  vigentes.</w:t>
      </w:r>
    </w:p>
  </w:footnote>
  <w:footnote w:id="2">
    <w:p w:rsidR="005857E0" w:rsidRPr="0055120A" w:rsidRDefault="005857E0" w:rsidP="0055120A">
      <w:pPr>
        <w:spacing w:before="240" w:after="240" w:line="240" w:lineRule="auto"/>
        <w:contextualSpacing/>
        <w:jc w:val="both"/>
        <w:rPr>
          <w:rFonts w:ascii="Palatino Linotype" w:hAnsi="Palatino Linotype" w:cs="Arial"/>
          <w:sz w:val="16"/>
          <w:szCs w:val="16"/>
        </w:rPr>
      </w:pPr>
      <w:r w:rsidRPr="0055120A">
        <w:rPr>
          <w:rFonts w:ascii="Palatino Linotype" w:hAnsi="Palatino Linotype" w:cs="Arial"/>
          <w:sz w:val="16"/>
          <w:szCs w:val="16"/>
        </w:rPr>
        <w:footnoteRef/>
      </w:r>
      <w:r w:rsidRPr="0055120A">
        <w:rPr>
          <w:rFonts w:ascii="Palatino Linotype" w:hAnsi="Palatino Linotype" w:cs="Arial"/>
          <w:sz w:val="16"/>
          <w:szCs w:val="16"/>
        </w:rPr>
        <w:t xml:space="preserve"> Tribunal Constitucional español, (STC 36/  1991).</w:t>
      </w:r>
    </w:p>
    <w:p w:rsidR="005857E0" w:rsidRPr="0055120A" w:rsidRDefault="005857E0" w:rsidP="0055120A">
      <w:pPr>
        <w:spacing w:before="240" w:after="240" w:line="240" w:lineRule="auto"/>
        <w:contextualSpacing/>
        <w:jc w:val="both"/>
        <w:rPr>
          <w:rFonts w:ascii="Palatino Linotype" w:hAnsi="Palatino Linotype"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B148D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0" type="#_x0000_t75" style="position:absolute;margin-left:0;margin-top:0;width:598.5pt;height:779.25pt;z-index:-251656192;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B148DC" w:rsidP="005857E0">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1" type="#_x0000_t75" style="position:absolute;left:0;text-align:left;margin-left:-80.15pt;margin-top:-114.85pt;width:598.5pt;height:779.25pt;z-index:-251655168;mso-position-horizontal-relative:margin;mso-position-vertical-relative:margin" o:allowincell="f">
          <v:imagedata r:id="rId1" o:title="fondo opinion particular"/>
          <w10:wrap anchorx="margin" anchory="margin"/>
        </v:shape>
      </w:pict>
    </w:r>
  </w:p>
  <w:p w:rsidR="005857E0" w:rsidRDefault="005857E0" w:rsidP="005857E0">
    <w:pPr>
      <w:pStyle w:val="Encabezado"/>
      <w:jc w:val="right"/>
      <w:rPr>
        <w:rFonts w:ascii="Palatino Linotype" w:hAnsi="Palatino Linotype"/>
        <w:b/>
      </w:rPr>
    </w:pPr>
    <w:r>
      <w:rPr>
        <w:rFonts w:ascii="Palatino Linotype" w:hAnsi="Palatino Linotype"/>
        <w:b/>
      </w:rPr>
      <w:t>VOTO PARTICULAR</w:t>
    </w:r>
  </w:p>
  <w:p w:rsidR="005857E0" w:rsidRPr="002A7C5D" w:rsidRDefault="005857E0" w:rsidP="005857E0">
    <w:pPr>
      <w:pStyle w:val="Encabezado"/>
      <w:jc w:val="right"/>
      <w:rPr>
        <w:rFonts w:ascii="Palatino Linotype" w:hAnsi="Palatino Linotype"/>
        <w:b/>
      </w:rPr>
    </w:pPr>
    <w:r w:rsidRPr="002A7C5D">
      <w:rPr>
        <w:rFonts w:ascii="Palatino Linotype" w:hAnsi="Palatino Linotype"/>
        <w:b/>
      </w:rPr>
      <w:t xml:space="preserve">RECURSO DE REVISIÓN </w:t>
    </w:r>
    <w:r>
      <w:rPr>
        <w:rFonts w:ascii="Palatino Linotype" w:hAnsi="Palatino Linotype" w:cs="Arial"/>
        <w:b/>
        <w:bCs/>
        <w:sz w:val="24"/>
        <w:szCs w:val="24"/>
        <w:lang w:eastAsia="es-MX"/>
      </w:rPr>
      <w:t xml:space="preserve">02301/INFOEM/IP/RR/2018 </w:t>
    </w:r>
  </w:p>
  <w:p w:rsidR="005857E0" w:rsidRPr="00C51F7E" w:rsidRDefault="005857E0" w:rsidP="005857E0">
    <w:pPr>
      <w:pStyle w:val="Encabezado"/>
      <w:jc w:val="right"/>
      <w:rPr>
        <w:rFonts w:ascii="Palatino Linotype" w:hAnsi="Palatino Linotype"/>
      </w:rPr>
    </w:pPr>
  </w:p>
  <w:p w:rsidR="005857E0" w:rsidRDefault="005857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7E0" w:rsidRDefault="00B148D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49"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F7"/>
    <w:rsid w:val="000A31BF"/>
    <w:rsid w:val="000A7BF7"/>
    <w:rsid w:val="001B15D3"/>
    <w:rsid w:val="00221673"/>
    <w:rsid w:val="00441FCA"/>
    <w:rsid w:val="00546029"/>
    <w:rsid w:val="0055120A"/>
    <w:rsid w:val="005857E0"/>
    <w:rsid w:val="0068576D"/>
    <w:rsid w:val="00742942"/>
    <w:rsid w:val="007E5647"/>
    <w:rsid w:val="0085799A"/>
    <w:rsid w:val="009514EE"/>
    <w:rsid w:val="009C42ED"/>
    <w:rsid w:val="00A04579"/>
    <w:rsid w:val="00A20C0D"/>
    <w:rsid w:val="00AE2DCE"/>
    <w:rsid w:val="00B148DC"/>
    <w:rsid w:val="00B14F60"/>
    <w:rsid w:val="00BA1613"/>
    <w:rsid w:val="00C86502"/>
    <w:rsid w:val="00CF3264"/>
    <w:rsid w:val="00DE696A"/>
    <w:rsid w:val="00DE6C84"/>
    <w:rsid w:val="00E40939"/>
    <w:rsid w:val="00E9188C"/>
    <w:rsid w:val="00EB0884"/>
    <w:rsid w:val="00F119F7"/>
    <w:rsid w:val="00F40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2D1F094-FB49-4565-9D16-44A75106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7B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7BF7"/>
  </w:style>
  <w:style w:type="table" w:styleId="Tablaconcuadrcula">
    <w:name w:val="Table Grid"/>
    <w:basedOn w:val="Tablanormal"/>
    <w:uiPriority w:val="39"/>
    <w:rsid w:val="000A7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A7BF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iedepgina">
    <w:name w:val="footer"/>
    <w:basedOn w:val="Normal"/>
    <w:link w:val="PiedepginaCar"/>
    <w:uiPriority w:val="99"/>
    <w:unhideWhenUsed/>
    <w:rsid w:val="00CF32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264"/>
  </w:style>
  <w:style w:type="paragraph" w:styleId="Textodeglobo">
    <w:name w:val="Balloon Text"/>
    <w:basedOn w:val="Normal"/>
    <w:link w:val="TextodegloboCar"/>
    <w:uiPriority w:val="99"/>
    <w:semiHidden/>
    <w:unhideWhenUsed/>
    <w:rsid w:val="00441F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1FCA"/>
    <w:rPr>
      <w:rFonts w:ascii="Segoe UI" w:hAnsi="Segoe UI" w:cs="Segoe UI"/>
      <w:sz w:val="18"/>
      <w:szCs w:val="18"/>
    </w:rPr>
  </w:style>
  <w:style w:type="paragraph" w:styleId="Textoindependiente">
    <w:name w:val="Body Text"/>
    <w:basedOn w:val="Normal"/>
    <w:link w:val="TextoindependienteCar"/>
    <w:uiPriority w:val="1"/>
    <w:qFormat/>
    <w:rsid w:val="009C42ED"/>
    <w:pPr>
      <w:widowControl w:val="0"/>
      <w:spacing w:after="0" w:line="240" w:lineRule="auto"/>
      <w:ind w:left="112" w:hanging="5"/>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C42ED"/>
    <w:rPr>
      <w:rFonts w:ascii="Times New Roman" w:eastAsia="Times New Roman" w:hAnsi="Times New Roman"/>
      <w:sz w:val="25"/>
      <w:szCs w:val="25"/>
      <w:lang w:val="en-US"/>
    </w:rPr>
  </w:style>
  <w:style w:type="paragraph" w:styleId="Textonotapie">
    <w:name w:val="footnote text"/>
    <w:basedOn w:val="Normal"/>
    <w:link w:val="TextonotapieCar"/>
    <w:uiPriority w:val="99"/>
    <w:semiHidden/>
    <w:unhideWhenUsed/>
    <w:rsid w:val="005512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120A"/>
    <w:rPr>
      <w:sz w:val="20"/>
      <w:szCs w:val="20"/>
    </w:rPr>
  </w:style>
  <w:style w:type="character" w:styleId="Refdenotaalpie">
    <w:name w:val="footnote reference"/>
    <w:basedOn w:val="Fuentedeprrafopredeter"/>
    <w:uiPriority w:val="99"/>
    <w:semiHidden/>
    <w:unhideWhenUsed/>
    <w:rsid w:val="00551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E9BEF-B765-4DC7-BF8F-827277F6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2406</Words>
  <Characters>13237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2018-08-27T22:11:00Z</cp:lastPrinted>
  <dcterms:created xsi:type="dcterms:W3CDTF">2018-10-16T01:06:00Z</dcterms:created>
  <dcterms:modified xsi:type="dcterms:W3CDTF">2018-10-16T01:06:00Z</dcterms:modified>
</cp:coreProperties>
</file>